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7F8A" w14:textId="6FB06608" w:rsidR="005A09F9" w:rsidRPr="005A09F9" w:rsidRDefault="005A09F9" w:rsidP="005A09F9">
      <w:pPr>
        <w:spacing w:line="276" w:lineRule="auto"/>
        <w:jc w:val="center"/>
        <w:rPr>
          <w:rFonts w:ascii="Cambria" w:eastAsia="Calibri" w:hAnsi="Cambria"/>
          <w:b/>
          <w:lang w:val="en-GB" w:eastAsia="en-US"/>
        </w:rPr>
      </w:pPr>
      <w:r w:rsidRPr="005A09F9">
        <w:rPr>
          <w:rFonts w:ascii="Cambria" w:eastAsia="Calibri" w:hAnsi="Cambria"/>
          <w:b/>
          <w:lang w:val="en-GB" w:eastAsia="en-US"/>
        </w:rPr>
        <w:t>Decree no. 154/R/21</w:t>
      </w:r>
    </w:p>
    <w:p w14:paraId="1E7AB65D" w14:textId="77777777" w:rsidR="005A09F9" w:rsidRPr="005A09F9" w:rsidRDefault="005A09F9" w:rsidP="005A09F9">
      <w:pPr>
        <w:spacing w:line="276" w:lineRule="auto"/>
        <w:contextualSpacing/>
        <w:jc w:val="center"/>
        <w:rPr>
          <w:rFonts w:ascii="Cambria" w:eastAsia="Calibri" w:hAnsi="Cambria"/>
          <w:b/>
          <w:lang w:val="en-GB" w:eastAsia="en-US"/>
        </w:rPr>
      </w:pPr>
      <w:bookmarkStart w:id="0" w:name="_Hlk83966101"/>
      <w:r w:rsidRPr="005A09F9">
        <w:rPr>
          <w:rFonts w:ascii="Cambria" w:eastAsia="Calibri" w:hAnsi="Cambria"/>
          <w:b/>
          <w:lang w:val="en-GB" w:eastAsia="en-US"/>
        </w:rPr>
        <w:t>of the Rector of the University of Gdańsk</w:t>
      </w:r>
    </w:p>
    <w:bookmarkEnd w:id="0"/>
    <w:p w14:paraId="64B2D078" w14:textId="5B3DDF67" w:rsidR="005A09F9" w:rsidRPr="005A09F9" w:rsidRDefault="005A09F9" w:rsidP="005A09F9">
      <w:pPr>
        <w:spacing w:line="276" w:lineRule="auto"/>
        <w:contextualSpacing/>
        <w:jc w:val="center"/>
        <w:rPr>
          <w:rFonts w:ascii="Cambria" w:eastAsia="Calibri" w:hAnsi="Cambria"/>
          <w:b/>
          <w:lang w:val="en-GB" w:eastAsia="en-US"/>
        </w:rPr>
      </w:pPr>
      <w:r w:rsidRPr="005A09F9">
        <w:rPr>
          <w:rFonts w:ascii="Cambria" w:eastAsia="Calibri" w:hAnsi="Cambria"/>
          <w:b/>
          <w:lang w:val="en-GB" w:eastAsia="en-US"/>
        </w:rPr>
        <w:t>of 18 October 2021</w:t>
      </w:r>
    </w:p>
    <w:p w14:paraId="68B38CC5" w14:textId="3AF47EC2" w:rsidR="00FA0291" w:rsidRPr="005A09F9" w:rsidRDefault="00FA0291" w:rsidP="00BE713E">
      <w:pPr>
        <w:spacing w:line="276" w:lineRule="auto"/>
        <w:jc w:val="center"/>
        <w:rPr>
          <w:rStyle w:val="Strong"/>
          <w:rFonts w:ascii="Cambria" w:hAnsi="Cambria"/>
          <w:lang w:val="en-GB"/>
        </w:rPr>
      </w:pPr>
    </w:p>
    <w:p w14:paraId="4B2C4AB1" w14:textId="77777777" w:rsidR="00FA0291" w:rsidRPr="005A09F9" w:rsidRDefault="00FA0291" w:rsidP="00BE713E">
      <w:pPr>
        <w:spacing w:line="276" w:lineRule="auto"/>
        <w:jc w:val="center"/>
        <w:rPr>
          <w:rFonts w:ascii="Cambria" w:hAnsi="Cambria"/>
          <w:lang w:val="en-GB"/>
        </w:rPr>
      </w:pPr>
    </w:p>
    <w:p w14:paraId="7D3A3C11" w14:textId="6DE29796" w:rsidR="00FA0291" w:rsidRPr="005A09F9" w:rsidRDefault="005A09F9" w:rsidP="00BE713E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Cambria" w:hAnsi="Cambria"/>
          <w:lang w:val="en-GB"/>
        </w:rPr>
      </w:pPr>
      <w:r w:rsidRPr="005A09F9">
        <w:rPr>
          <w:rStyle w:val="Strong"/>
          <w:rFonts w:ascii="Cambria" w:hAnsi="Cambria"/>
          <w:lang w:val="en-GB"/>
        </w:rPr>
        <w:t xml:space="preserve">on establishing </w:t>
      </w:r>
      <w:r w:rsidR="00EA6F1B">
        <w:rPr>
          <w:rStyle w:val="Strong"/>
          <w:rFonts w:ascii="Cambria" w:hAnsi="Cambria"/>
          <w:lang w:val="en-GB"/>
        </w:rPr>
        <w:t>the</w:t>
      </w:r>
      <w:r w:rsidRPr="005A09F9">
        <w:rPr>
          <w:rStyle w:val="Strong"/>
          <w:rFonts w:ascii="Cambria" w:hAnsi="Cambria"/>
          <w:lang w:val="en-GB"/>
        </w:rPr>
        <w:t xml:space="preserve"> </w:t>
      </w:r>
      <w:r>
        <w:rPr>
          <w:rStyle w:val="Strong"/>
          <w:rFonts w:ascii="Cambria" w:hAnsi="Cambria"/>
          <w:lang w:val="en-GB"/>
        </w:rPr>
        <w:t xml:space="preserve">“UG Visiting Professors” fund at the </w:t>
      </w:r>
      <w:r w:rsidR="00291663" w:rsidRPr="005A09F9">
        <w:rPr>
          <w:rStyle w:val="Strong"/>
          <w:rFonts w:ascii="Cambria" w:hAnsi="Cambria"/>
          <w:lang w:val="en-GB"/>
        </w:rPr>
        <w:t>Uni</w:t>
      </w:r>
      <w:r>
        <w:rPr>
          <w:rStyle w:val="Strong"/>
          <w:rFonts w:ascii="Cambria" w:hAnsi="Cambria"/>
          <w:lang w:val="en-GB"/>
        </w:rPr>
        <w:t xml:space="preserve">versity of </w:t>
      </w:r>
      <w:r w:rsidR="00291663" w:rsidRPr="005A09F9">
        <w:rPr>
          <w:rStyle w:val="Strong"/>
          <w:rFonts w:ascii="Cambria" w:hAnsi="Cambria"/>
          <w:lang w:val="en-GB"/>
        </w:rPr>
        <w:t>Gdańsk</w:t>
      </w:r>
      <w:r w:rsidR="00291663" w:rsidRPr="005A09F9">
        <w:rPr>
          <w:rStyle w:val="Strong"/>
          <w:rFonts w:ascii="Cambria" w:hAnsi="Cambria"/>
          <w:lang w:val="en-GB"/>
        </w:rPr>
        <w:br/>
      </w:r>
    </w:p>
    <w:p w14:paraId="3E1F5B3A" w14:textId="77777777" w:rsidR="00FA7393" w:rsidRPr="005A09F9" w:rsidRDefault="00FA7393" w:rsidP="00BE713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lang w:val="en-GB"/>
        </w:rPr>
      </w:pPr>
    </w:p>
    <w:p w14:paraId="53FB8E12" w14:textId="5E65707F" w:rsidR="006508FA" w:rsidRDefault="005A09F9" w:rsidP="00BE713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lang w:val="en-GB"/>
        </w:rPr>
      </w:pPr>
      <w:r w:rsidRPr="005A09F9">
        <w:rPr>
          <w:rFonts w:ascii="Cambria" w:hAnsi="Cambria"/>
          <w:color w:val="000000" w:themeColor="text1"/>
          <w:lang w:val="en-GB"/>
        </w:rPr>
        <w:t>It is decreed on the basis of Article 23 section 1</w:t>
      </w:r>
      <w:r>
        <w:rPr>
          <w:rFonts w:ascii="Cambria" w:hAnsi="Cambria"/>
          <w:color w:val="000000" w:themeColor="text1"/>
          <w:lang w:val="en-GB"/>
        </w:rPr>
        <w:t xml:space="preserve"> and section 2 points 2 and 10</w:t>
      </w:r>
      <w:r w:rsidRPr="005A09F9">
        <w:rPr>
          <w:rFonts w:ascii="Cambria" w:hAnsi="Cambria"/>
          <w:color w:val="000000" w:themeColor="text1"/>
          <w:lang w:val="en-GB"/>
        </w:rPr>
        <w:t xml:space="preserve"> of the Act of 20 July 2018 – Law on Higher Education and Science (i.e. Journal of Laws 2021, item 478 with amendments)</w:t>
      </w:r>
      <w:r>
        <w:rPr>
          <w:rFonts w:ascii="Cambria" w:hAnsi="Cambria"/>
          <w:color w:val="000000" w:themeColor="text1"/>
          <w:lang w:val="en-GB"/>
        </w:rPr>
        <w:t xml:space="preserve">, </w:t>
      </w:r>
      <w:r w:rsidRPr="005A09F9">
        <w:rPr>
          <w:rFonts w:ascii="Cambria" w:hAnsi="Cambria"/>
          <w:color w:val="000000" w:themeColor="text1"/>
          <w:lang w:val="en-GB"/>
        </w:rPr>
        <w:t xml:space="preserve">§ 34 </w:t>
      </w:r>
      <w:r>
        <w:rPr>
          <w:rFonts w:ascii="Cambria" w:hAnsi="Cambria"/>
          <w:color w:val="000000" w:themeColor="text1"/>
          <w:lang w:val="en-GB"/>
        </w:rPr>
        <w:t xml:space="preserve">section 1 and </w:t>
      </w:r>
      <w:r w:rsidRPr="005A09F9">
        <w:rPr>
          <w:rFonts w:ascii="Cambria" w:hAnsi="Cambria"/>
          <w:color w:val="000000" w:themeColor="text1"/>
          <w:lang w:val="en-GB"/>
        </w:rPr>
        <w:t xml:space="preserve">section 2 point </w:t>
      </w:r>
      <w:r>
        <w:rPr>
          <w:rFonts w:ascii="Cambria" w:hAnsi="Cambria"/>
          <w:color w:val="000000" w:themeColor="text1"/>
          <w:lang w:val="en-GB"/>
        </w:rPr>
        <w:t>2</w:t>
      </w:r>
      <w:r w:rsidRPr="005A09F9">
        <w:rPr>
          <w:rFonts w:ascii="Cambria" w:hAnsi="Cambria"/>
          <w:color w:val="000000" w:themeColor="text1"/>
          <w:lang w:val="en-GB"/>
        </w:rPr>
        <w:t xml:space="preserve"> of the Statute of the University of Gdańsk of 13 June 2019 (with amendments) that:</w:t>
      </w:r>
    </w:p>
    <w:p w14:paraId="02631122" w14:textId="77777777" w:rsidR="005A09F9" w:rsidRPr="005A09F9" w:rsidRDefault="005A09F9" w:rsidP="00BE713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lang w:val="en-GB"/>
        </w:rPr>
      </w:pPr>
    </w:p>
    <w:p w14:paraId="59630F17" w14:textId="77777777" w:rsidR="007C0408" w:rsidRPr="005A09F9" w:rsidRDefault="007C0408" w:rsidP="00B7517E">
      <w:pPr>
        <w:spacing w:line="276" w:lineRule="auto"/>
        <w:rPr>
          <w:rFonts w:ascii="Cambria" w:hAnsi="Cambria"/>
          <w:lang w:val="en-GB"/>
        </w:rPr>
      </w:pPr>
    </w:p>
    <w:p w14:paraId="4846C530" w14:textId="77777777" w:rsidR="007C0408" w:rsidRPr="005A09F9" w:rsidRDefault="007C0408" w:rsidP="007C0408">
      <w:pPr>
        <w:spacing w:line="276" w:lineRule="auto"/>
        <w:ind w:left="10" w:right="5" w:hanging="10"/>
        <w:jc w:val="center"/>
        <w:rPr>
          <w:rFonts w:ascii="Cambria" w:hAnsi="Cambria"/>
          <w:lang w:val="en-GB"/>
        </w:rPr>
      </w:pPr>
      <w:r w:rsidRPr="005A09F9">
        <w:rPr>
          <w:rFonts w:ascii="Cambria" w:hAnsi="Cambria"/>
          <w:lang w:val="en-GB"/>
        </w:rPr>
        <w:t>§ 1.</w:t>
      </w:r>
      <w:r w:rsidRPr="005A09F9">
        <w:rPr>
          <w:rFonts w:ascii="Cambria" w:eastAsia="Cambria" w:hAnsi="Cambria"/>
          <w:lang w:val="en-GB"/>
        </w:rPr>
        <w:t xml:space="preserve"> </w:t>
      </w:r>
    </w:p>
    <w:p w14:paraId="5E07A87D" w14:textId="227C1154" w:rsidR="007C0408" w:rsidRPr="005A09F9" w:rsidRDefault="003A7E74" w:rsidP="00B7517E">
      <w:pPr>
        <w:spacing w:line="276" w:lineRule="auto"/>
        <w:ind w:left="-15"/>
        <w:jc w:val="both"/>
        <w:rPr>
          <w:rFonts w:ascii="Cambria" w:eastAsia="Cambria" w:hAnsi="Cambria"/>
          <w:lang w:val="en-GB"/>
        </w:rPr>
      </w:pPr>
      <w:r>
        <w:rPr>
          <w:rFonts w:ascii="Cambria" w:eastAsia="Cambria" w:hAnsi="Cambria"/>
          <w:lang w:val="en-GB"/>
        </w:rPr>
        <w:t xml:space="preserve">As part of the Excellence Initiative </w:t>
      </w:r>
      <w:r w:rsidR="00B76B88">
        <w:rPr>
          <w:rFonts w:ascii="Cambria" w:eastAsia="Cambria" w:hAnsi="Cambria"/>
          <w:lang w:val="en-GB"/>
        </w:rPr>
        <w:t xml:space="preserve">“Research University at the University of Gdańsk” programme, </w:t>
      </w:r>
      <w:bookmarkStart w:id="1" w:name="_Hlk85197129"/>
      <w:r w:rsidR="00B76B88">
        <w:rPr>
          <w:rFonts w:ascii="Cambria" w:eastAsia="Cambria" w:hAnsi="Cambria"/>
          <w:lang w:val="en-GB"/>
        </w:rPr>
        <w:t xml:space="preserve">the </w:t>
      </w:r>
      <w:r w:rsidR="005C1265" w:rsidRPr="005C1265">
        <w:rPr>
          <w:rFonts w:ascii="Cambria" w:hAnsi="Cambria"/>
          <w:lang w:val="en-GB"/>
        </w:rPr>
        <w:t xml:space="preserve">“UG Visiting Professors” programme </w:t>
      </w:r>
      <w:r w:rsidR="00B76B88">
        <w:rPr>
          <w:rFonts w:ascii="Cambria" w:hAnsi="Cambria"/>
          <w:lang w:val="en-GB"/>
        </w:rPr>
        <w:t xml:space="preserve">shall be established </w:t>
      </w:r>
      <w:bookmarkEnd w:id="1"/>
      <w:r w:rsidR="007C0408" w:rsidRPr="005A09F9">
        <w:rPr>
          <w:rFonts w:ascii="Cambria" w:hAnsi="Cambria"/>
          <w:lang w:val="en-GB"/>
        </w:rPr>
        <w:t>–</w:t>
      </w:r>
      <w:r w:rsidR="007C0408" w:rsidRPr="005A09F9">
        <w:rPr>
          <w:rFonts w:ascii="Cambria" w:eastAsia="Cambria" w:hAnsi="Cambria"/>
          <w:lang w:val="en-GB"/>
        </w:rPr>
        <w:t xml:space="preserve"> </w:t>
      </w:r>
      <w:r w:rsidR="00B76B88">
        <w:rPr>
          <w:rFonts w:ascii="Cambria" w:eastAsia="Cambria" w:hAnsi="Cambria"/>
          <w:lang w:val="en-GB"/>
        </w:rPr>
        <w:t xml:space="preserve">a fund to finance the implementation of </w:t>
      </w:r>
      <w:r w:rsidR="00B76B88" w:rsidRPr="001A53A4">
        <w:rPr>
          <w:rFonts w:ascii="Cambria" w:eastAsia="Cambria" w:hAnsi="Cambria"/>
          <w:lang w:val="en-GB"/>
        </w:rPr>
        <w:t>medium-term</w:t>
      </w:r>
      <w:r w:rsidR="00B76B88">
        <w:rPr>
          <w:rFonts w:ascii="Cambria" w:eastAsia="Cambria" w:hAnsi="Cambria"/>
          <w:lang w:val="en-GB"/>
        </w:rPr>
        <w:t xml:space="preserve"> and short-term visits </w:t>
      </w:r>
      <w:r w:rsidR="001A53A4">
        <w:rPr>
          <w:rFonts w:ascii="Cambria" w:eastAsia="Cambria" w:hAnsi="Cambria"/>
          <w:lang w:val="en-GB"/>
        </w:rPr>
        <w:t>by</w:t>
      </w:r>
      <w:r w:rsidR="00B76B88">
        <w:rPr>
          <w:rFonts w:ascii="Cambria" w:eastAsia="Cambria" w:hAnsi="Cambria"/>
          <w:lang w:val="en-GB"/>
        </w:rPr>
        <w:t xml:space="preserve"> outstanding researchers from abroad. </w:t>
      </w:r>
      <w:bookmarkStart w:id="2" w:name="_Hlk82548357"/>
    </w:p>
    <w:bookmarkEnd w:id="2"/>
    <w:p w14:paraId="66D7AC62" w14:textId="77777777" w:rsidR="007C0408" w:rsidRPr="005A09F9" w:rsidRDefault="007C0408" w:rsidP="007C0408">
      <w:pPr>
        <w:spacing w:line="276" w:lineRule="auto"/>
        <w:ind w:left="49"/>
        <w:jc w:val="center"/>
        <w:rPr>
          <w:rFonts w:ascii="Cambria" w:hAnsi="Cambria"/>
          <w:lang w:val="en-GB"/>
        </w:rPr>
      </w:pPr>
    </w:p>
    <w:p w14:paraId="7AFD17CB" w14:textId="77777777" w:rsidR="007C0408" w:rsidRPr="005A09F9" w:rsidRDefault="007C0408" w:rsidP="007C0408">
      <w:pPr>
        <w:spacing w:line="276" w:lineRule="auto"/>
        <w:ind w:left="10" w:right="5" w:hanging="10"/>
        <w:jc w:val="center"/>
        <w:rPr>
          <w:rFonts w:ascii="Cambria" w:hAnsi="Cambria"/>
          <w:lang w:val="en-GB"/>
        </w:rPr>
      </w:pPr>
      <w:r w:rsidRPr="005A09F9">
        <w:rPr>
          <w:rFonts w:ascii="Cambria" w:hAnsi="Cambria"/>
          <w:lang w:val="en-GB"/>
        </w:rPr>
        <w:t>§ 2.</w:t>
      </w:r>
      <w:r w:rsidRPr="005A09F9">
        <w:rPr>
          <w:rFonts w:ascii="Cambria" w:eastAsia="Cambria" w:hAnsi="Cambria"/>
          <w:lang w:val="en-GB"/>
        </w:rPr>
        <w:t xml:space="preserve"> </w:t>
      </w:r>
    </w:p>
    <w:p w14:paraId="5A86D209" w14:textId="3F2D57A9" w:rsidR="007C0408" w:rsidRPr="005A09F9" w:rsidRDefault="00B76B88" w:rsidP="00B76B88">
      <w:pPr>
        <w:spacing w:line="276" w:lineRule="auto"/>
        <w:jc w:val="both"/>
        <w:rPr>
          <w:rFonts w:ascii="Cambria" w:eastAsia="Cambria" w:hAnsi="Cambria"/>
          <w:lang w:val="en-GB"/>
        </w:rPr>
      </w:pPr>
      <w:r>
        <w:rPr>
          <w:rFonts w:ascii="Cambria" w:eastAsia="Cambria" w:hAnsi="Cambria"/>
          <w:lang w:val="en-GB"/>
        </w:rPr>
        <w:t xml:space="preserve">The objective of the </w:t>
      </w:r>
      <w:r w:rsidR="005C1265" w:rsidRPr="005C1265">
        <w:rPr>
          <w:rFonts w:ascii="Cambria" w:eastAsia="Cambria" w:hAnsi="Cambria"/>
          <w:lang w:val="en-GB"/>
        </w:rPr>
        <w:t>“UG Visiting Professors” programme</w:t>
      </w:r>
      <w:r>
        <w:rPr>
          <w:rFonts w:ascii="Cambria" w:hAnsi="Cambria"/>
          <w:lang w:val="en-GB"/>
        </w:rPr>
        <w:t xml:space="preserve"> is the internationalisation of the scientific research and didactic classes conducted at the </w:t>
      </w:r>
      <w:r w:rsidR="007C0408" w:rsidRPr="005A09F9">
        <w:rPr>
          <w:rFonts w:ascii="Cambria" w:hAnsi="Cambria"/>
          <w:lang w:val="en-GB"/>
        </w:rPr>
        <w:t>Uni</w:t>
      </w:r>
      <w:r>
        <w:rPr>
          <w:rFonts w:ascii="Cambria" w:hAnsi="Cambria"/>
          <w:lang w:val="en-GB"/>
        </w:rPr>
        <w:t xml:space="preserve">versity of </w:t>
      </w:r>
      <w:r w:rsidR="007C0408" w:rsidRPr="005A09F9">
        <w:rPr>
          <w:rFonts w:ascii="Cambria" w:hAnsi="Cambria"/>
          <w:lang w:val="en-GB"/>
        </w:rPr>
        <w:t>Gdańsk</w:t>
      </w:r>
      <w:r w:rsidR="006B4F4D" w:rsidRPr="005A09F9">
        <w:rPr>
          <w:rFonts w:ascii="Cambria" w:hAnsi="Cambria"/>
          <w:lang w:val="en-GB"/>
        </w:rPr>
        <w:t xml:space="preserve">. </w:t>
      </w:r>
    </w:p>
    <w:p w14:paraId="013496E3" w14:textId="77777777" w:rsidR="007C0408" w:rsidRPr="005A09F9" w:rsidRDefault="007C0408" w:rsidP="00855BCD">
      <w:pPr>
        <w:spacing w:line="276" w:lineRule="auto"/>
        <w:rPr>
          <w:rFonts w:ascii="Cambria" w:hAnsi="Cambria"/>
          <w:lang w:val="en-GB"/>
        </w:rPr>
      </w:pPr>
    </w:p>
    <w:p w14:paraId="598D405B" w14:textId="77777777" w:rsidR="007C0408" w:rsidRPr="005A09F9" w:rsidRDefault="007C0408" w:rsidP="00B7517E">
      <w:pPr>
        <w:spacing w:line="276" w:lineRule="auto"/>
        <w:ind w:left="4192" w:right="4187" w:hanging="10"/>
        <w:jc w:val="center"/>
        <w:rPr>
          <w:rFonts w:ascii="Cambria" w:hAnsi="Cambria"/>
          <w:lang w:val="en-GB"/>
        </w:rPr>
      </w:pPr>
      <w:r w:rsidRPr="005A09F9">
        <w:rPr>
          <w:rFonts w:ascii="Cambria" w:hAnsi="Cambria"/>
          <w:lang w:val="en-GB"/>
        </w:rPr>
        <w:t xml:space="preserve">§ </w:t>
      </w:r>
      <w:r w:rsidRPr="005A09F9">
        <w:rPr>
          <w:rFonts w:ascii="Cambria" w:eastAsia="Cambria" w:hAnsi="Cambria"/>
          <w:lang w:val="en-GB"/>
        </w:rPr>
        <w:t xml:space="preserve">3. </w:t>
      </w:r>
    </w:p>
    <w:p w14:paraId="1AEABE40" w14:textId="12C723A2" w:rsidR="007C0408" w:rsidRPr="005A09F9" w:rsidRDefault="003D2799" w:rsidP="00B7517E">
      <w:pPr>
        <w:numPr>
          <w:ilvl w:val="0"/>
          <w:numId w:val="26"/>
        </w:numPr>
        <w:spacing w:line="276" w:lineRule="auto"/>
        <w:ind w:hanging="360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amount of </w:t>
      </w:r>
      <w:r w:rsidR="00124B5D">
        <w:rPr>
          <w:rFonts w:ascii="Cambria" w:hAnsi="Cambria"/>
          <w:lang w:val="en-GB"/>
        </w:rPr>
        <w:t xml:space="preserve">funds </w:t>
      </w:r>
      <w:r>
        <w:rPr>
          <w:rFonts w:ascii="Cambria" w:hAnsi="Cambria"/>
          <w:lang w:val="en-GB"/>
        </w:rPr>
        <w:t xml:space="preserve">available in the </w:t>
      </w:r>
      <w:r w:rsidR="005C1265" w:rsidRPr="005C1265">
        <w:rPr>
          <w:rFonts w:ascii="Cambria" w:hAnsi="Cambria"/>
          <w:lang w:val="en-GB"/>
        </w:rPr>
        <w:t xml:space="preserve">“UG Visiting Professors” programme </w:t>
      </w:r>
      <w:r>
        <w:rPr>
          <w:rFonts w:ascii="Cambria" w:hAnsi="Cambria"/>
          <w:lang w:val="en-GB"/>
        </w:rPr>
        <w:t>shall be determined by the Rector for a given calendar year with regard to the UG’s current financial situation</w:t>
      </w:r>
      <w:r w:rsidR="007613F6">
        <w:rPr>
          <w:rFonts w:ascii="Cambria" w:hAnsi="Cambria"/>
          <w:lang w:val="en-GB"/>
        </w:rPr>
        <w:t>.</w:t>
      </w:r>
      <w:r w:rsidR="007613F6" w:rsidRPr="005A09F9">
        <w:rPr>
          <w:rFonts w:ascii="Cambria" w:hAnsi="Cambria"/>
          <w:lang w:val="en-GB"/>
        </w:rPr>
        <w:t xml:space="preserve"> </w:t>
      </w:r>
    </w:p>
    <w:p w14:paraId="3A915E5D" w14:textId="57064778" w:rsidR="007C0408" w:rsidRPr="005A09F9" w:rsidRDefault="003D2799" w:rsidP="00B7517E">
      <w:pPr>
        <w:numPr>
          <w:ilvl w:val="0"/>
          <w:numId w:val="26"/>
        </w:numPr>
        <w:spacing w:line="276" w:lineRule="auto"/>
        <w:ind w:hanging="360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</w:t>
      </w:r>
      <w:r w:rsidR="00124B5D">
        <w:rPr>
          <w:rFonts w:ascii="Cambria" w:hAnsi="Cambria"/>
          <w:lang w:val="en-GB"/>
        </w:rPr>
        <w:t xml:space="preserve">funds in the </w:t>
      </w:r>
      <w:r w:rsidR="005C1265" w:rsidRPr="005C1265">
        <w:rPr>
          <w:rFonts w:ascii="Cambria" w:hAnsi="Cambria"/>
          <w:lang w:val="en-GB"/>
        </w:rPr>
        <w:t xml:space="preserve">“UG Visiting Professors” programme </w:t>
      </w:r>
      <w:r w:rsidR="00124B5D">
        <w:rPr>
          <w:rFonts w:ascii="Cambria" w:hAnsi="Cambria"/>
          <w:lang w:val="en-GB"/>
        </w:rPr>
        <w:t>shall be allocated by means of competitions</w:t>
      </w:r>
      <w:r w:rsidR="007613F6">
        <w:rPr>
          <w:rFonts w:ascii="Cambria" w:hAnsi="Cambria"/>
          <w:lang w:val="en-GB"/>
        </w:rPr>
        <w:t xml:space="preserve">. </w:t>
      </w:r>
    </w:p>
    <w:p w14:paraId="7D9E0330" w14:textId="2C18A3BD" w:rsidR="00D31D43" w:rsidRPr="005A09F9" w:rsidRDefault="00124B5D" w:rsidP="004C5007">
      <w:pPr>
        <w:numPr>
          <w:ilvl w:val="0"/>
          <w:numId w:val="26"/>
        </w:numPr>
        <w:spacing w:line="276" w:lineRule="auto"/>
        <w:ind w:hanging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lang w:val="en-GB"/>
        </w:rPr>
        <w:t xml:space="preserve">The funds in the </w:t>
      </w:r>
      <w:r w:rsidR="005C1265" w:rsidRPr="005C1265">
        <w:rPr>
          <w:rFonts w:ascii="Cambria" w:hAnsi="Cambria"/>
          <w:lang w:val="en-GB"/>
        </w:rPr>
        <w:t>“UG Visiting Professors” programme</w:t>
      </w:r>
      <w:r w:rsidR="007C0408" w:rsidRPr="005A09F9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may be secured by a person who does not hold Polish citizenship, is employed at a university abroad in the position of professor and has been invited to the </w:t>
      </w:r>
      <w:r w:rsidR="007C0408" w:rsidRPr="005A09F9">
        <w:rPr>
          <w:rFonts w:ascii="Cambria" w:hAnsi="Cambria"/>
          <w:lang w:val="en-GB"/>
        </w:rPr>
        <w:t>Uni</w:t>
      </w:r>
      <w:r>
        <w:rPr>
          <w:rFonts w:ascii="Cambria" w:hAnsi="Cambria"/>
          <w:lang w:val="en-GB"/>
        </w:rPr>
        <w:t xml:space="preserve">versity of </w:t>
      </w:r>
      <w:r w:rsidR="007C0408" w:rsidRPr="005A09F9">
        <w:rPr>
          <w:rFonts w:ascii="Cambria" w:hAnsi="Cambria"/>
          <w:lang w:val="en-GB"/>
        </w:rPr>
        <w:t>Gdańsk</w:t>
      </w:r>
      <w:r>
        <w:rPr>
          <w:rFonts w:ascii="Cambria" w:hAnsi="Cambria"/>
          <w:lang w:val="en-GB"/>
        </w:rPr>
        <w:t xml:space="preserve"> by an academic teacher who is the supervisor of the visit </w:t>
      </w:r>
      <w:r w:rsidR="00DB4A1A" w:rsidRPr="005A09F9">
        <w:rPr>
          <w:rFonts w:ascii="Cambria" w:hAnsi="Cambria"/>
          <w:lang w:val="en-GB"/>
        </w:rPr>
        <w:t xml:space="preserve">– </w:t>
      </w:r>
      <w:r>
        <w:rPr>
          <w:rFonts w:ascii="Cambria" w:hAnsi="Cambria"/>
          <w:lang w:val="en-GB"/>
        </w:rPr>
        <w:t>hereinafter referred to as “</w:t>
      </w:r>
      <w:r w:rsidR="004D14A9">
        <w:rPr>
          <w:rFonts w:ascii="Cambria" w:hAnsi="Cambria"/>
          <w:lang w:val="en-GB"/>
        </w:rPr>
        <w:t>B</w:t>
      </w:r>
      <w:r>
        <w:rPr>
          <w:rFonts w:ascii="Cambria" w:hAnsi="Cambria"/>
          <w:lang w:val="en-GB"/>
        </w:rPr>
        <w:t xml:space="preserve">eneficiary”. </w:t>
      </w:r>
    </w:p>
    <w:p w14:paraId="75DDE9B4" w14:textId="38078B86" w:rsidR="007C0408" w:rsidRPr="005A09F9" w:rsidRDefault="004D14A9" w:rsidP="004C5007">
      <w:pPr>
        <w:numPr>
          <w:ilvl w:val="0"/>
          <w:numId w:val="26"/>
        </w:numPr>
        <w:spacing w:line="276" w:lineRule="auto"/>
        <w:ind w:hanging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The programme shall not apply to visits </w:t>
      </w:r>
      <w:r w:rsidR="001A53A4">
        <w:rPr>
          <w:rFonts w:ascii="Cambria" w:hAnsi="Cambria"/>
          <w:color w:val="000000" w:themeColor="text1"/>
          <w:lang w:val="en-GB"/>
        </w:rPr>
        <w:t>by</w:t>
      </w:r>
      <w:r>
        <w:rPr>
          <w:rFonts w:ascii="Cambria" w:hAnsi="Cambria"/>
          <w:color w:val="000000" w:themeColor="text1"/>
          <w:lang w:val="en-GB"/>
        </w:rPr>
        <w:t xml:space="preserve"> professors from abroad organised as part of separate agreements</w:t>
      </w:r>
      <w:r w:rsidR="00591622">
        <w:rPr>
          <w:rFonts w:ascii="Cambria" w:hAnsi="Cambria"/>
          <w:color w:val="000000" w:themeColor="text1"/>
          <w:lang w:val="en-GB"/>
        </w:rPr>
        <w:t>,</w:t>
      </w:r>
      <w:r>
        <w:rPr>
          <w:rFonts w:ascii="Cambria" w:hAnsi="Cambria"/>
          <w:color w:val="000000" w:themeColor="text1"/>
          <w:lang w:val="en-GB"/>
        </w:rPr>
        <w:t xml:space="preserve"> </w:t>
      </w:r>
      <w:r w:rsidR="00591622">
        <w:rPr>
          <w:rFonts w:ascii="Cambria" w:hAnsi="Cambria"/>
          <w:color w:val="000000" w:themeColor="text1"/>
          <w:lang w:val="en-GB"/>
        </w:rPr>
        <w:t xml:space="preserve">including project agreements, </w:t>
      </w:r>
      <w:r>
        <w:rPr>
          <w:rFonts w:ascii="Cambria" w:hAnsi="Cambria"/>
          <w:color w:val="000000" w:themeColor="text1"/>
          <w:lang w:val="en-GB"/>
        </w:rPr>
        <w:t xml:space="preserve">which </w:t>
      </w:r>
      <w:r w:rsidR="00370C00">
        <w:rPr>
          <w:rFonts w:ascii="Cambria" w:hAnsi="Cambria"/>
          <w:color w:val="000000" w:themeColor="text1"/>
          <w:lang w:val="en-GB"/>
        </w:rPr>
        <w:t xml:space="preserve">provide funding </w:t>
      </w:r>
      <w:r w:rsidR="00591622">
        <w:rPr>
          <w:rFonts w:ascii="Cambria" w:hAnsi="Cambria"/>
          <w:color w:val="000000" w:themeColor="text1"/>
          <w:lang w:val="en-GB"/>
        </w:rPr>
        <w:t>for</w:t>
      </w:r>
      <w:r w:rsidR="00370C00">
        <w:rPr>
          <w:rFonts w:ascii="Cambria" w:hAnsi="Cambria"/>
          <w:color w:val="000000" w:themeColor="text1"/>
          <w:lang w:val="en-GB"/>
        </w:rPr>
        <w:t xml:space="preserve"> the</w:t>
      </w:r>
      <w:r w:rsidR="00591622">
        <w:rPr>
          <w:rFonts w:ascii="Cambria" w:hAnsi="Cambria"/>
          <w:color w:val="000000" w:themeColor="text1"/>
          <w:lang w:val="en-GB"/>
        </w:rPr>
        <w:t>se</w:t>
      </w:r>
      <w:r w:rsidR="00370C00">
        <w:rPr>
          <w:rFonts w:ascii="Cambria" w:hAnsi="Cambria"/>
          <w:color w:val="000000" w:themeColor="text1"/>
          <w:lang w:val="en-GB"/>
        </w:rPr>
        <w:t xml:space="preserve"> visits. </w:t>
      </w:r>
    </w:p>
    <w:p w14:paraId="70953268" w14:textId="77777777" w:rsidR="00370C00" w:rsidRPr="00370C00" w:rsidRDefault="00370C00" w:rsidP="00B7517E">
      <w:pPr>
        <w:numPr>
          <w:ilvl w:val="0"/>
          <w:numId w:val="26"/>
        </w:numPr>
        <w:spacing w:line="276" w:lineRule="auto"/>
        <w:ind w:hanging="360"/>
        <w:jc w:val="both"/>
        <w:rPr>
          <w:rFonts w:ascii="Cambria" w:hAnsi="Cambria"/>
          <w:lang w:val="en-GB"/>
        </w:rPr>
      </w:pPr>
      <w:r>
        <w:rPr>
          <w:rFonts w:ascii="Cambria" w:eastAsia="Cambria" w:hAnsi="Cambria"/>
          <w:lang w:val="en-GB"/>
        </w:rPr>
        <w:t>The schedule of the competitions in a given calendar year shall be announced by the Rector in a separate communique.</w:t>
      </w:r>
    </w:p>
    <w:p w14:paraId="09B333A1" w14:textId="77777777" w:rsidR="00370C00" w:rsidRDefault="00370C00" w:rsidP="00370C00">
      <w:pPr>
        <w:spacing w:line="276" w:lineRule="auto"/>
        <w:ind w:left="360"/>
        <w:jc w:val="both"/>
        <w:rPr>
          <w:rFonts w:ascii="Cambria" w:eastAsia="Cambria" w:hAnsi="Cambria"/>
          <w:lang w:val="en-GB"/>
        </w:rPr>
      </w:pPr>
    </w:p>
    <w:p w14:paraId="655B719E" w14:textId="77777777" w:rsidR="00370C00" w:rsidRDefault="00370C00" w:rsidP="00370C00">
      <w:pPr>
        <w:spacing w:line="276" w:lineRule="auto"/>
        <w:ind w:left="360"/>
        <w:jc w:val="both"/>
        <w:rPr>
          <w:rFonts w:ascii="Cambria" w:eastAsia="Cambria" w:hAnsi="Cambria"/>
          <w:lang w:val="en-GB"/>
        </w:rPr>
      </w:pPr>
    </w:p>
    <w:p w14:paraId="5D5B8903" w14:textId="3AD0550C" w:rsidR="007C0408" w:rsidRPr="005A09F9" w:rsidRDefault="007C0408" w:rsidP="00370C00">
      <w:pPr>
        <w:spacing w:line="276" w:lineRule="auto"/>
        <w:ind w:left="360"/>
        <w:jc w:val="both"/>
        <w:rPr>
          <w:rFonts w:ascii="Cambria" w:hAnsi="Cambria"/>
          <w:lang w:val="en-GB"/>
        </w:rPr>
      </w:pPr>
      <w:r w:rsidRPr="005A09F9">
        <w:rPr>
          <w:rFonts w:ascii="Cambria" w:eastAsia="Cambria" w:hAnsi="Cambria"/>
          <w:lang w:val="en-GB"/>
        </w:rPr>
        <w:t xml:space="preserve">  </w:t>
      </w:r>
    </w:p>
    <w:p w14:paraId="6208C47A" w14:textId="210FBF95" w:rsidR="007A555F" w:rsidRPr="005A09F9" w:rsidRDefault="007A555F" w:rsidP="007A555F">
      <w:pPr>
        <w:spacing w:line="276" w:lineRule="auto"/>
        <w:rPr>
          <w:rFonts w:ascii="Cambria" w:hAnsi="Cambria"/>
          <w:lang w:val="en-GB"/>
        </w:rPr>
      </w:pPr>
    </w:p>
    <w:p w14:paraId="6898FA25" w14:textId="45BE28F0" w:rsidR="007A555F" w:rsidRPr="005A09F9" w:rsidRDefault="007C0408" w:rsidP="00935B66">
      <w:pPr>
        <w:spacing w:line="276" w:lineRule="auto"/>
        <w:ind w:left="10" w:right="3" w:hanging="10"/>
        <w:jc w:val="center"/>
        <w:rPr>
          <w:rFonts w:ascii="Cambria" w:hAnsi="Cambria"/>
          <w:color w:val="000000" w:themeColor="text1"/>
          <w:lang w:val="en-GB"/>
        </w:rPr>
      </w:pPr>
      <w:r w:rsidRPr="005A09F9">
        <w:rPr>
          <w:rFonts w:ascii="Cambria" w:hAnsi="Cambria"/>
          <w:color w:val="000000" w:themeColor="text1"/>
          <w:lang w:val="en-GB"/>
        </w:rPr>
        <w:lastRenderedPageBreak/>
        <w:t xml:space="preserve">§ 4. </w:t>
      </w:r>
    </w:p>
    <w:p w14:paraId="4C924410" w14:textId="0FCEC59B" w:rsidR="007C0408" w:rsidRPr="005A09F9" w:rsidRDefault="00F05633" w:rsidP="00B7517E">
      <w:pPr>
        <w:pStyle w:val="ListParagraph"/>
        <w:numPr>
          <w:ilvl w:val="0"/>
          <w:numId w:val="30"/>
        </w:numPr>
        <w:rPr>
          <w:rFonts w:ascii="Cambria" w:eastAsia="Arial" w:hAnsi="Cambria"/>
          <w:color w:val="000000" w:themeColor="text1"/>
          <w:sz w:val="24"/>
          <w:szCs w:val="24"/>
          <w:lang w:val="en-GB"/>
        </w:rPr>
      </w:pPr>
      <w:r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The </w:t>
      </w:r>
      <w:bookmarkStart w:id="3" w:name="_Hlk88057154"/>
      <w:r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“UG Visiting Professors” programme </w:t>
      </w:r>
      <w:bookmarkEnd w:id="3"/>
      <w:r w:rsidR="00370C00"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is expected to finance the costs of </w:t>
      </w:r>
      <w:r w:rsidR="00F328DD"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the visits of </w:t>
      </w:r>
      <w:r w:rsidR="00370C00"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professors </w:t>
      </w:r>
      <w:r w:rsidR="00F328DD">
        <w:rPr>
          <w:rFonts w:ascii="Cambria" w:eastAsia="Arial" w:hAnsi="Cambria"/>
          <w:color w:val="000000" w:themeColor="text1"/>
          <w:sz w:val="24"/>
          <w:szCs w:val="24"/>
          <w:lang w:val="en-GB"/>
        </w:rPr>
        <w:t xml:space="preserve">from abroad as part of the following activities: </w:t>
      </w:r>
    </w:p>
    <w:p w14:paraId="2249F6BA" w14:textId="18A3261E" w:rsidR="007C0408" w:rsidRPr="005A09F9" w:rsidRDefault="00DA1428" w:rsidP="00B7517E">
      <w:pPr>
        <w:pStyle w:val="ListParagraph"/>
        <w:numPr>
          <w:ilvl w:val="0"/>
          <w:numId w:val="29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short-term visits lasting from 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2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>to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4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weeks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; </w:t>
      </w:r>
    </w:p>
    <w:p w14:paraId="0A8B110B" w14:textId="1DA2424B" w:rsidR="007C0408" w:rsidRPr="005A09F9" w:rsidRDefault="00DA1428" w:rsidP="00B7517E">
      <w:pPr>
        <w:pStyle w:val="ListParagraph"/>
        <w:numPr>
          <w:ilvl w:val="0"/>
          <w:numId w:val="29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medium-term visits lasting from 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5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>to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12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weeks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</w:p>
    <w:p w14:paraId="2B19E802" w14:textId="0A7F77F8" w:rsidR="00044BB2" w:rsidRPr="005A09F9" w:rsidRDefault="009B3B51" w:rsidP="00B7517E">
      <w:pPr>
        <w:pStyle w:val="ListParagraph"/>
        <w:keepLines/>
        <w:numPr>
          <w:ilvl w:val="0"/>
          <w:numId w:val="30"/>
        </w:numPr>
        <w:ind w:left="340" w:hanging="357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>The funding shall include the Beneficiary’s remuneration and reimbursement of his/her travel and accommodation costs as part of the “UG Visiting Professors”</w:t>
      </w:r>
      <w:r w:rsidR="005C1265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programme</w:t>
      </w:r>
      <w:r w:rsidR="0036185F">
        <w:rPr>
          <w:rFonts w:ascii="Cambria" w:hAnsi="Cambria"/>
          <w:color w:val="000000" w:themeColor="text1"/>
          <w:sz w:val="24"/>
          <w:szCs w:val="24"/>
          <w:lang w:val="en-GB"/>
        </w:rPr>
        <w:t>, comprising: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 </w:t>
      </w:r>
    </w:p>
    <w:p w14:paraId="7B4E6F34" w14:textId="7432993A" w:rsidR="00044BB2" w:rsidRPr="005A09F9" w:rsidRDefault="00F328DD" w:rsidP="00C30F16">
      <w:pPr>
        <w:pStyle w:val="ListParagraph"/>
        <w:keepLines/>
        <w:numPr>
          <w:ilvl w:val="0"/>
          <w:numId w:val="33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>the costs</w:t>
      </w:r>
      <w:r w:rsidR="00C02854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conducting didactic classes according to an hourly rate or the costs of conducting research;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</w:p>
    <w:p w14:paraId="71D353D3" w14:textId="7079C376" w:rsidR="00044BB2" w:rsidRPr="005A09F9" w:rsidRDefault="00F328DD" w:rsidP="00C30F16">
      <w:pPr>
        <w:pStyle w:val="ListParagraph"/>
        <w:keepLines/>
        <w:numPr>
          <w:ilvl w:val="0"/>
          <w:numId w:val="33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>travel costs</w:t>
      </w:r>
      <w:r w:rsidR="00044BB2" w:rsidRPr="005A09F9">
        <w:rPr>
          <w:rFonts w:ascii="Cambria" w:hAnsi="Cambria"/>
          <w:color w:val="000000" w:themeColor="text1"/>
          <w:sz w:val="24"/>
          <w:szCs w:val="24"/>
          <w:lang w:val="en-GB"/>
        </w:rPr>
        <w:t>;</w:t>
      </w:r>
    </w:p>
    <w:p w14:paraId="6D33BBDB" w14:textId="0A4C8ADE" w:rsidR="00044BB2" w:rsidRPr="005A09F9" w:rsidRDefault="00F328DD" w:rsidP="00C30F16">
      <w:pPr>
        <w:pStyle w:val="ListParagraph"/>
        <w:keepLines/>
        <w:numPr>
          <w:ilvl w:val="0"/>
          <w:numId w:val="33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accommodation costs. </w:t>
      </w:r>
    </w:p>
    <w:p w14:paraId="141993D0" w14:textId="604D05A0" w:rsidR="007C0408" w:rsidRPr="005A09F9" w:rsidRDefault="001A0F7E" w:rsidP="00B7517E">
      <w:pPr>
        <w:pStyle w:val="ListParagraph"/>
        <w:keepLines/>
        <w:numPr>
          <w:ilvl w:val="0"/>
          <w:numId w:val="30"/>
        </w:numPr>
        <w:ind w:left="340" w:hanging="357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A0F7E">
        <w:rPr>
          <w:rFonts w:ascii="Cambria" w:hAnsi="Cambria"/>
          <w:color w:val="000000" w:themeColor="text1"/>
          <w:sz w:val="24"/>
          <w:szCs w:val="24"/>
          <w:lang w:val="en-GB"/>
        </w:rPr>
        <w:t>The costs referred to in section 2 point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1 </w:t>
      </w:r>
      <w:r w:rsidR="00F63BCF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shall be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calculated as flat fees to the amount of: </w:t>
      </w:r>
      <w:r w:rsidRPr="001A0F7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</w:p>
    <w:p w14:paraId="11CA4E86" w14:textId="1256ED6C" w:rsidR="00044BB2" w:rsidRPr="005A09F9" w:rsidRDefault="00C30F16" w:rsidP="00C30F16">
      <w:pPr>
        <w:pStyle w:val="ListParagraph"/>
        <w:numPr>
          <w:ilvl w:val="0"/>
          <w:numId w:val="31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>100</w:t>
      </w:r>
      <w:r w:rsidR="001A0F7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PLN for an hour of didactic work</w:t>
      </w:r>
      <w:r w:rsidR="00F94EB2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  <w:r w:rsidR="009B0C8B" w:rsidRPr="005A09F9">
        <w:rPr>
          <w:rFonts w:ascii="Cambria" w:hAnsi="Cambria"/>
          <w:color w:val="000000" w:themeColor="text1"/>
          <w:sz w:val="24"/>
          <w:szCs w:val="24"/>
          <w:lang w:val="en-GB"/>
        </w:rPr>
        <w:t>(</w:t>
      </w:r>
      <w:r w:rsidR="00F94EB2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the amount calculated on the basis of </w:t>
      </w:r>
      <w:r w:rsidR="00800E00">
        <w:rPr>
          <w:rFonts w:ascii="Cambria" w:hAnsi="Cambria"/>
          <w:color w:val="000000" w:themeColor="text1"/>
          <w:sz w:val="24"/>
          <w:szCs w:val="24"/>
          <w:lang w:val="en-GB"/>
        </w:rPr>
        <w:t>the rates of pay for overtime work for persons employed in the position of professor, annex no.</w:t>
      </w:r>
      <w:r w:rsidR="00044BB2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13 </w:t>
      </w:r>
      <w:r w:rsidR="00800E00">
        <w:rPr>
          <w:rFonts w:ascii="Cambria" w:hAnsi="Cambria"/>
          <w:color w:val="000000" w:themeColor="text1"/>
          <w:sz w:val="24"/>
          <w:szCs w:val="24"/>
          <w:lang w:val="en-GB"/>
        </w:rPr>
        <w:t>to the UG Employee Remuneration Regulations</w:t>
      </w:r>
      <w:r w:rsidR="009B0C8B" w:rsidRPr="005A09F9">
        <w:rPr>
          <w:rFonts w:ascii="Cambria" w:hAnsi="Cambria"/>
          <w:color w:val="000000" w:themeColor="text1"/>
          <w:sz w:val="24"/>
          <w:szCs w:val="24"/>
          <w:lang w:val="en-GB"/>
        </w:rPr>
        <w:t>)</w:t>
      </w:r>
      <w:r w:rsidR="00370942" w:rsidRPr="005A09F9">
        <w:rPr>
          <w:rFonts w:ascii="Cambria" w:hAnsi="Cambria"/>
          <w:color w:val="000000" w:themeColor="text1"/>
          <w:sz w:val="24"/>
          <w:szCs w:val="24"/>
          <w:lang w:val="en-GB"/>
        </w:rPr>
        <w:t>;</w:t>
      </w:r>
    </w:p>
    <w:p w14:paraId="4DDE8ECD" w14:textId="026B4E15" w:rsidR="009B0C8B" w:rsidRPr="005A09F9" w:rsidRDefault="009B0C8B" w:rsidP="00C30F16">
      <w:pPr>
        <w:pStyle w:val="ListParagraph"/>
        <w:numPr>
          <w:ilvl w:val="0"/>
          <w:numId w:val="31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>2</w:t>
      </w:r>
      <w:r w:rsidR="00F3067D">
        <w:rPr>
          <w:rFonts w:ascii="Cambria" w:hAnsi="Cambria"/>
          <w:color w:val="000000" w:themeColor="text1"/>
          <w:sz w:val="24"/>
          <w:szCs w:val="24"/>
          <w:lang w:val="en-GB"/>
        </w:rPr>
        <w:t>,</w:t>
      </w: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>000</w:t>
      </w:r>
      <w:r w:rsidR="00F3067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PLN</w:t>
      </w: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>/</w:t>
      </w:r>
      <w:r w:rsidR="00F3067D">
        <w:rPr>
          <w:rFonts w:ascii="Cambria" w:hAnsi="Cambria"/>
          <w:color w:val="000000" w:themeColor="text1"/>
          <w:sz w:val="24"/>
          <w:szCs w:val="24"/>
          <w:lang w:val="en-GB"/>
        </w:rPr>
        <w:t>week</w:t>
      </w: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(400</w:t>
      </w:r>
      <w:r w:rsidR="00F3067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PLN</w:t>
      </w:r>
      <w:r w:rsidRPr="005A09F9">
        <w:rPr>
          <w:rFonts w:ascii="Cambria" w:hAnsi="Cambria"/>
          <w:color w:val="000000" w:themeColor="text1"/>
          <w:sz w:val="24"/>
          <w:szCs w:val="24"/>
          <w:lang w:val="en-GB"/>
        </w:rPr>
        <w:t>/</w:t>
      </w:r>
      <w:r w:rsidR="00F3067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working day) of a research flat fee. </w:t>
      </w:r>
    </w:p>
    <w:p w14:paraId="6C89BE25" w14:textId="088EED4E" w:rsidR="00803D82" w:rsidRPr="005A09F9" w:rsidRDefault="001A0F7E" w:rsidP="00803D82">
      <w:pPr>
        <w:pStyle w:val="ListParagraph"/>
        <w:numPr>
          <w:ilvl w:val="0"/>
          <w:numId w:val="30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The costs referred to in section 2 points 2 and 3 </w:t>
      </w:r>
      <w:r w:rsidR="00F63BCF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shall be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flat fees for: </w:t>
      </w:r>
    </w:p>
    <w:p w14:paraId="34484A9C" w14:textId="52A31B36" w:rsidR="007C0408" w:rsidRDefault="00F63BCF" w:rsidP="00803D82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F63BCF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travel </w:t>
      </w:r>
      <w:r w:rsidR="006323B8" w:rsidRPr="00F63BCF">
        <w:rPr>
          <w:rFonts w:ascii="Cambria" w:hAnsi="Cambria"/>
          <w:color w:val="000000" w:themeColor="text1"/>
          <w:sz w:val="24"/>
          <w:szCs w:val="24"/>
          <w:lang w:val="en-GB"/>
        </w:rPr>
        <w:t xml:space="preserve">–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on the basis of expenses incurred and appropriately documented, not exceeding: </w:t>
      </w:r>
    </w:p>
    <w:p w14:paraId="7FF13E52" w14:textId="77777777" w:rsidR="001A0F7E" w:rsidRPr="005A09F9" w:rsidRDefault="001A0F7E" w:rsidP="001A0F7E">
      <w:pPr>
        <w:pStyle w:val="ListParagraph"/>
        <w:ind w:left="705" w:firstLine="0"/>
        <w:rPr>
          <w:rFonts w:ascii="Cambria" w:hAnsi="Cambria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8359" w:type="dxa"/>
        <w:tblInd w:w="708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957"/>
        <w:gridCol w:w="3402"/>
      </w:tblGrid>
      <w:tr w:rsidR="00FA7E2A" w:rsidRPr="005A09F9" w14:paraId="4DBB862A" w14:textId="77777777" w:rsidTr="005008C1">
        <w:trPr>
          <w:trHeight w:val="12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176A" w14:textId="746CCF67" w:rsidR="007C0408" w:rsidRPr="005A09F9" w:rsidRDefault="00F3067D" w:rsidP="00B7517E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Linear d</w:t>
            </w:r>
            <w:r w:rsidR="00F63BCF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istance (in km)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between 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the place of residence and the destination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280D" w14:textId="44C44B26" w:rsidR="007C0408" w:rsidRPr="005A09F9" w:rsidRDefault="00DB26E7" w:rsidP="00E57CE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Amount per one person </w:t>
            </w:r>
          </w:p>
        </w:tc>
      </w:tr>
      <w:tr w:rsidR="00EA0DD9" w:rsidRPr="005A09F9" w14:paraId="1D34328A" w14:textId="77777777" w:rsidTr="005008C1">
        <w:trPr>
          <w:trHeight w:val="3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472" w14:textId="084A0884" w:rsidR="007C0408" w:rsidRPr="005A09F9" w:rsidRDefault="00DB26E7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below </w:t>
            </w:r>
            <w:r w:rsidR="007C0408"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56D" w14:textId="5DF3A7BB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1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300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  <w:tr w:rsidR="00EA0DD9" w:rsidRPr="005A09F9" w14:paraId="36B2738A" w14:textId="77777777" w:rsidTr="005008C1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6BC" w14:textId="77777777" w:rsidR="007C0408" w:rsidRPr="005A09F9" w:rsidRDefault="00B7517E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500 - 999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9C0" w14:textId="29DB2323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2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600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  <w:tr w:rsidR="00EA0DD9" w:rsidRPr="005A09F9" w14:paraId="510817C9" w14:textId="77777777" w:rsidTr="005008C1">
        <w:trPr>
          <w:trHeight w:val="3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856" w14:textId="527AB4E4" w:rsidR="007C0408" w:rsidRPr="005A09F9" w:rsidRDefault="007C0408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1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000 – 2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999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7F6" w14:textId="4B0B0E88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3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900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  <w:tr w:rsidR="00EA0DD9" w:rsidRPr="005A09F9" w14:paraId="1EDE52ED" w14:textId="77777777" w:rsidTr="005008C1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7C1" w14:textId="1B81349F" w:rsidR="007C0408" w:rsidRPr="005A09F9" w:rsidRDefault="007C0408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3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000 – 5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999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9DF" w14:textId="2D7754EE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5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200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  <w:tr w:rsidR="00EA0DD9" w:rsidRPr="005A09F9" w14:paraId="38ADBED0" w14:textId="77777777" w:rsidTr="005008C1">
        <w:trPr>
          <w:trHeight w:val="3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971" w14:textId="3AC0E392" w:rsidR="007C0408" w:rsidRPr="005A09F9" w:rsidRDefault="007C0408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6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000 – 9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87F" w14:textId="26530BAA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6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500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  <w:tr w:rsidR="00EA0DD9" w:rsidRPr="005A09F9" w14:paraId="7D00CF44" w14:textId="77777777" w:rsidTr="005008C1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0C2" w14:textId="053A8D5C" w:rsidR="007C0408" w:rsidRPr="005A09F9" w:rsidRDefault="00DB26E7" w:rsidP="00956691">
            <w:pPr>
              <w:ind w:left="2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above </w:t>
            </w:r>
            <w:r w:rsidR="007C0408"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9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="007C0408"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275" w14:textId="41AF2088" w:rsidR="007C0408" w:rsidRPr="005A09F9" w:rsidRDefault="007C0408" w:rsidP="0095669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</w:pP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7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,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800</w:t>
            </w:r>
            <w:r w:rsidR="00DB26E7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A09F9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PLN</w:t>
            </w:r>
          </w:p>
        </w:tc>
      </w:tr>
    </w:tbl>
    <w:p w14:paraId="76B93B20" w14:textId="6F5C56EE" w:rsidR="00C04353" w:rsidRPr="005A09F9" w:rsidRDefault="00FA1760" w:rsidP="00803D82">
      <w:pPr>
        <w:pStyle w:val="ListParagraph"/>
        <w:numPr>
          <w:ilvl w:val="0"/>
          <w:numId w:val="35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accommodation costs </w:t>
      </w:r>
      <w:r w:rsidR="006323B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– </w:t>
      </w:r>
      <w:r w:rsidRPr="00FA1760">
        <w:rPr>
          <w:rFonts w:ascii="Cambria" w:hAnsi="Cambria"/>
          <w:color w:val="000000" w:themeColor="text1"/>
          <w:sz w:val="24"/>
          <w:szCs w:val="24"/>
          <w:lang w:val="en-GB"/>
        </w:rPr>
        <w:t>on the basis of expenses incurred and appropriately documented</w:t>
      </w:r>
      <w:r w:rsidR="00C04353" w:rsidRPr="005A09F9">
        <w:rPr>
          <w:rFonts w:ascii="Cambria" w:hAnsi="Cambria"/>
          <w:color w:val="000000" w:themeColor="text1"/>
          <w:sz w:val="24"/>
          <w:szCs w:val="24"/>
          <w:lang w:val="en-GB"/>
        </w:rPr>
        <w:t>:</w:t>
      </w:r>
    </w:p>
    <w:p w14:paraId="1A30925C" w14:textId="203CC466" w:rsidR="00C04353" w:rsidRPr="005A09F9" w:rsidRDefault="00FA1760" w:rsidP="00EA0DD9">
      <w:pPr>
        <w:pStyle w:val="ListParagraph"/>
        <w:numPr>
          <w:ilvl w:val="0"/>
          <w:numId w:val="36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for short-term stays not exceeding: </w:t>
      </w:r>
      <w:r w:rsidR="00C04353" w:rsidRPr="005A09F9">
        <w:rPr>
          <w:rFonts w:ascii="Cambria" w:hAnsi="Cambria"/>
          <w:color w:val="000000" w:themeColor="text1"/>
          <w:sz w:val="24"/>
          <w:szCs w:val="24"/>
          <w:lang w:val="en-GB"/>
        </w:rPr>
        <w:t>30</w:t>
      </w:r>
      <w:r w:rsidR="00392E85" w:rsidRPr="005A09F9">
        <w:rPr>
          <w:rFonts w:ascii="Cambria" w:hAnsi="Cambria"/>
          <w:color w:val="000000" w:themeColor="text1"/>
          <w:sz w:val="24"/>
          <w:szCs w:val="24"/>
          <w:lang w:val="en-GB"/>
        </w:rPr>
        <w:t>0</w:t>
      </w:r>
      <w:r w:rsidR="007C0408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PLN </w:t>
      </w:r>
      <w:r w:rsidR="007F14BB">
        <w:rPr>
          <w:rFonts w:ascii="Cambria" w:hAnsi="Cambria"/>
          <w:color w:val="000000" w:themeColor="text1"/>
          <w:sz w:val="24"/>
          <w:szCs w:val="24"/>
          <w:lang w:val="en-GB"/>
        </w:rPr>
        <w:t>per day for one person,</w:t>
      </w:r>
    </w:p>
    <w:p w14:paraId="03A0A346" w14:textId="143D5F28" w:rsidR="00C04353" w:rsidRPr="005A09F9" w:rsidRDefault="007F14BB" w:rsidP="00EA0DD9">
      <w:pPr>
        <w:pStyle w:val="ListParagraph"/>
        <w:numPr>
          <w:ilvl w:val="0"/>
          <w:numId w:val="36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>for medium-term stays not exceeding</w:t>
      </w:r>
      <w:r w:rsidR="00C04353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: </w:t>
      </w:r>
      <w:r w:rsidR="00946EC0" w:rsidRPr="005A09F9">
        <w:rPr>
          <w:rFonts w:ascii="Cambria" w:hAnsi="Cambria"/>
          <w:color w:val="000000" w:themeColor="text1"/>
          <w:sz w:val="24"/>
          <w:szCs w:val="24"/>
          <w:lang w:val="en-GB"/>
        </w:rPr>
        <w:t>1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>,</w:t>
      </w:r>
      <w:r w:rsidR="00946EC0" w:rsidRPr="005A09F9">
        <w:rPr>
          <w:rFonts w:ascii="Cambria" w:hAnsi="Cambria"/>
          <w:color w:val="000000" w:themeColor="text1"/>
          <w:sz w:val="24"/>
          <w:szCs w:val="24"/>
          <w:lang w:val="en-GB"/>
        </w:rPr>
        <w:t>00</w:t>
      </w:r>
      <w:r w:rsidR="00C54EC3" w:rsidRPr="005A09F9">
        <w:rPr>
          <w:rFonts w:ascii="Cambria" w:hAnsi="Cambria"/>
          <w:color w:val="000000" w:themeColor="text1"/>
          <w:sz w:val="24"/>
          <w:szCs w:val="24"/>
          <w:lang w:val="en-GB"/>
        </w:rPr>
        <w:t>0</w:t>
      </w:r>
      <w:r w:rsidR="00C04353" w:rsidRPr="005A09F9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PLN </w:t>
      </w:r>
      <w:r w:rsidRPr="007F14BB">
        <w:rPr>
          <w:rFonts w:ascii="Cambria" w:hAnsi="Cambria"/>
          <w:color w:val="000000" w:themeColor="text1"/>
          <w:sz w:val="24"/>
          <w:szCs w:val="24"/>
          <w:lang w:val="en-GB"/>
        </w:rPr>
        <w:t xml:space="preserve">per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week </w:t>
      </w:r>
      <w:r w:rsidRPr="007F14BB">
        <w:rPr>
          <w:rFonts w:ascii="Cambria" w:hAnsi="Cambria"/>
          <w:color w:val="000000" w:themeColor="text1"/>
          <w:sz w:val="24"/>
          <w:szCs w:val="24"/>
          <w:lang w:val="en-GB"/>
        </w:rPr>
        <w:t>for one person</w:t>
      </w:r>
      <w:r w:rsidR="00F06D30" w:rsidRPr="005A09F9">
        <w:rPr>
          <w:rFonts w:ascii="Cambria" w:hAnsi="Cambria"/>
          <w:color w:val="000000" w:themeColor="text1"/>
          <w:sz w:val="24"/>
          <w:szCs w:val="24"/>
          <w:lang w:val="en-GB"/>
        </w:rPr>
        <w:t>.</w:t>
      </w:r>
    </w:p>
    <w:p w14:paraId="231C6FD2" w14:textId="73F0FA37" w:rsidR="007C0408" w:rsidRPr="005A09F9" w:rsidRDefault="007F14BB" w:rsidP="00A615C5">
      <w:pPr>
        <w:pStyle w:val="ListParagraph"/>
        <w:spacing w:before="240"/>
        <w:ind w:left="345" w:firstLine="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Accommodation on University premises may be provided. </w:t>
      </w:r>
    </w:p>
    <w:p w14:paraId="309AA301" w14:textId="1A5B402E" w:rsidR="00D80B13" w:rsidRPr="005A09F9" w:rsidRDefault="00A3130C" w:rsidP="00066F06">
      <w:pPr>
        <w:pStyle w:val="ListParagraph"/>
        <w:numPr>
          <w:ilvl w:val="0"/>
          <w:numId w:val="30"/>
        </w:numPr>
        <w:spacing w:before="240"/>
        <w:rPr>
          <w:rFonts w:ascii="Cambria" w:hAnsi="Cambria" w:cstheme="minorHAnsi"/>
          <w:color w:val="000000" w:themeColor="text1"/>
          <w:sz w:val="24"/>
          <w:szCs w:val="24"/>
          <w:lang w:val="en-GB"/>
        </w:rPr>
      </w:pPr>
      <w:r>
        <w:rPr>
          <w:rFonts w:ascii="Cambria" w:hAnsi="Cambria" w:cstheme="minorHAnsi"/>
          <w:color w:val="000000" w:themeColor="text1"/>
          <w:sz w:val="24"/>
          <w:szCs w:val="24"/>
          <w:lang w:val="en-GB"/>
        </w:rPr>
        <w:t>Taking into consideration the availability of funds in a given year and in exceptionally justified cases, given the extent of the planned scientific and didactic activity during the visit as well as its the benefits for the UG</w:t>
      </w:r>
      <w:r w:rsidR="00A62589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, the Rector may, at the request of the supervisor, </w:t>
      </w:r>
      <w:r w:rsidR="00D04C5A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increase the amount of funding for the visit. </w:t>
      </w:r>
    </w:p>
    <w:p w14:paraId="372176A7" w14:textId="224C4DD0" w:rsidR="00BF4CF4" w:rsidRPr="001A53A4" w:rsidRDefault="00D04C5A" w:rsidP="00066F06">
      <w:pPr>
        <w:pStyle w:val="ListParagraph"/>
        <w:numPr>
          <w:ilvl w:val="0"/>
          <w:numId w:val="30"/>
        </w:numPr>
        <w:spacing w:before="240"/>
        <w:rPr>
          <w:rFonts w:ascii="Cambria" w:hAnsi="Cambria" w:cstheme="minorHAnsi"/>
          <w:color w:val="000000" w:themeColor="text1"/>
          <w:sz w:val="24"/>
          <w:szCs w:val="24"/>
          <w:lang w:val="en-GB"/>
        </w:rPr>
      </w:pPr>
      <w:r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If the Beneficiary has conducted at least 60 hours of didactic classes during the visit, </w:t>
      </w:r>
      <w:r w:rsidR="00135DF5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>the</w:t>
      </w:r>
      <w:r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 increase to the rate per hour of didactic </w:t>
      </w:r>
      <w:r w:rsidRPr="001A53A4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work may not </w:t>
      </w:r>
      <w:r w:rsidR="00C42079" w:rsidRPr="001A53A4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exceed a figure three times </w:t>
      </w:r>
      <w:r w:rsidR="00D96984" w:rsidRPr="001A53A4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higher than the rate </w:t>
      </w:r>
      <w:r w:rsidRPr="001A53A4">
        <w:rPr>
          <w:rFonts w:ascii="Cambria" w:hAnsi="Cambria" w:cstheme="minorHAnsi"/>
          <w:color w:val="000000" w:themeColor="text1"/>
          <w:sz w:val="24"/>
          <w:szCs w:val="24"/>
          <w:lang w:val="en-GB"/>
        </w:rPr>
        <w:t xml:space="preserve">referred to in section 3 point 1. </w:t>
      </w:r>
    </w:p>
    <w:p w14:paraId="3579C252" w14:textId="6451F6E8" w:rsidR="0090704B" w:rsidRPr="005A09F9" w:rsidRDefault="00D04C5A" w:rsidP="0090704B">
      <w:pPr>
        <w:pStyle w:val="ListParagraph"/>
        <w:numPr>
          <w:ilvl w:val="0"/>
          <w:numId w:val="30"/>
        </w:numPr>
        <w:spacing w:before="24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lastRenderedPageBreak/>
        <w:t xml:space="preserve">The </w:t>
      </w:r>
      <w:r w:rsidR="0081578C" w:rsidRPr="005A09F9">
        <w:rPr>
          <w:rFonts w:ascii="Cambria" w:hAnsi="Cambria"/>
          <w:color w:val="000000" w:themeColor="text1"/>
          <w:sz w:val="24"/>
          <w:szCs w:val="24"/>
          <w:lang w:val="en-GB"/>
        </w:rPr>
        <w:t>Benefic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iary shall receive remuneration on the basis of a concluded contract of commission, prepared in accordance with the </w:t>
      </w:r>
      <w:r w:rsidR="00CB27FB">
        <w:rPr>
          <w:rFonts w:ascii="Cambria" w:hAnsi="Cambria"/>
          <w:color w:val="000000" w:themeColor="text1"/>
          <w:sz w:val="24"/>
          <w:szCs w:val="24"/>
          <w:lang w:val="en-GB"/>
        </w:rPr>
        <w:t xml:space="preserve">Rules for concluding civil law contracts at the UG. </w:t>
      </w:r>
    </w:p>
    <w:p w14:paraId="3207EA91" w14:textId="2743057F" w:rsidR="009C36F1" w:rsidRPr="005A09F9" w:rsidRDefault="00CB27FB" w:rsidP="009C36F1">
      <w:pPr>
        <w:pStyle w:val="ListParagraph"/>
        <w:numPr>
          <w:ilvl w:val="0"/>
          <w:numId w:val="30"/>
        </w:numPr>
        <w:spacing w:before="240"/>
        <w:rPr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The remuneration referred to in section 2 point 1 shall be paid according to the </w:t>
      </w:r>
      <w:r w:rsidR="009A6A2B">
        <w:rPr>
          <w:rFonts w:ascii="Cambria" w:hAnsi="Cambria"/>
          <w:color w:val="000000" w:themeColor="text1"/>
          <w:sz w:val="24"/>
          <w:szCs w:val="24"/>
          <w:lang w:val="en-GB"/>
        </w:rPr>
        <w:t>s</w:t>
      </w:r>
      <w:r w:rsidR="009A6A2B" w:rsidRPr="009A6A2B">
        <w:rPr>
          <w:rFonts w:ascii="Cambria" w:hAnsi="Cambria"/>
          <w:color w:val="000000" w:themeColor="text1"/>
          <w:sz w:val="24"/>
          <w:szCs w:val="24"/>
          <w:lang w:val="en-GB"/>
        </w:rPr>
        <w:t>upplementa</w:t>
      </w:r>
      <w:r w:rsidR="009A6A2B">
        <w:rPr>
          <w:rFonts w:ascii="Cambria" w:hAnsi="Cambria"/>
          <w:color w:val="000000" w:themeColor="text1"/>
          <w:sz w:val="24"/>
          <w:szCs w:val="24"/>
          <w:lang w:val="en-GB"/>
        </w:rPr>
        <w:t>l</w:t>
      </w:r>
      <w:r w:rsidR="009A6A2B" w:rsidRPr="009A6A2B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payroll</w:t>
      </w:r>
      <w:r w:rsidR="009A6A2B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rules and </w:t>
      </w:r>
      <w:r w:rsidR="009A6A2B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deadlines in operation at the UG. </w:t>
      </w:r>
    </w:p>
    <w:p w14:paraId="5C31B7F4" w14:textId="77777777" w:rsidR="009C36F1" w:rsidRPr="005A09F9" w:rsidRDefault="009C36F1" w:rsidP="009C36F1">
      <w:pPr>
        <w:pStyle w:val="ListParagraph"/>
        <w:spacing w:before="240"/>
        <w:ind w:left="345" w:firstLine="0"/>
        <w:rPr>
          <w:color w:val="000000" w:themeColor="text1"/>
          <w:lang w:val="en-GB"/>
        </w:rPr>
      </w:pPr>
    </w:p>
    <w:p w14:paraId="6CBACA62" w14:textId="77777777" w:rsidR="007C0408" w:rsidRPr="005A09F9" w:rsidRDefault="007C0408" w:rsidP="000641F2">
      <w:pPr>
        <w:jc w:val="center"/>
        <w:rPr>
          <w:color w:val="000000" w:themeColor="text1"/>
          <w:lang w:val="en-GB"/>
        </w:rPr>
      </w:pPr>
      <w:r w:rsidRPr="005A09F9">
        <w:rPr>
          <w:rFonts w:eastAsia="Cambria"/>
          <w:color w:val="000000" w:themeColor="text1"/>
          <w:lang w:val="en-GB"/>
        </w:rPr>
        <w:t>§ 5.</w:t>
      </w:r>
    </w:p>
    <w:p w14:paraId="54F31327" w14:textId="7BC36D7A" w:rsidR="007C0408" w:rsidRPr="005A09F9" w:rsidRDefault="00EA6F1B" w:rsidP="007C0408">
      <w:pPr>
        <w:numPr>
          <w:ilvl w:val="0"/>
          <w:numId w:val="27"/>
        </w:numPr>
        <w:spacing w:line="276" w:lineRule="auto"/>
        <w:ind w:hanging="428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Entry to the competition shall be conditional upon the visit’s supervisor submitting an application form, the specimen of which is available at the UG website in the “Cooperation” tab. </w:t>
      </w:r>
    </w:p>
    <w:p w14:paraId="0C329B42" w14:textId="41B95679" w:rsidR="007C0408" w:rsidRPr="001A53A4" w:rsidRDefault="00730608" w:rsidP="007C0408">
      <w:pPr>
        <w:numPr>
          <w:ilvl w:val="0"/>
          <w:numId w:val="27"/>
        </w:numPr>
        <w:spacing w:line="276" w:lineRule="auto"/>
        <w:ind w:hanging="428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A completed application form should be submitted </w:t>
      </w:r>
      <w:r w:rsidR="00CE5032">
        <w:rPr>
          <w:rFonts w:ascii="Cambria" w:hAnsi="Cambria"/>
          <w:color w:val="000000" w:themeColor="text1"/>
          <w:lang w:val="en-GB"/>
        </w:rPr>
        <w:t xml:space="preserve">electronically </w:t>
      </w:r>
      <w:r w:rsidR="007C0408" w:rsidRPr="005A09F9">
        <w:rPr>
          <w:rFonts w:ascii="Cambria" w:eastAsia="Cambria" w:hAnsi="Cambria"/>
          <w:color w:val="000000" w:themeColor="text1"/>
          <w:lang w:val="en-GB"/>
        </w:rPr>
        <w:t>(</w:t>
      </w:r>
      <w:r w:rsidR="00CE5032">
        <w:rPr>
          <w:rFonts w:ascii="Cambria" w:eastAsia="Cambria" w:hAnsi="Cambria"/>
          <w:color w:val="000000" w:themeColor="text1"/>
          <w:lang w:val="en-GB"/>
        </w:rPr>
        <w:t xml:space="preserve">a scan of a signed application) to </w:t>
      </w:r>
      <w:hyperlink r:id="rId8" w:history="1">
        <w:r w:rsidR="00DD3D26" w:rsidRPr="005A09F9">
          <w:rPr>
            <w:rStyle w:val="Hyperlink"/>
            <w:rFonts w:ascii="Cambria" w:eastAsia="Cambria" w:hAnsi="Cambria"/>
            <w:lang w:val="en-GB"/>
          </w:rPr>
          <w:t>vpo@ug.edu.pl</w:t>
        </w:r>
      </w:hyperlink>
      <w:r w:rsidR="00DD3D26" w:rsidRPr="005A09F9">
        <w:rPr>
          <w:rFonts w:ascii="Cambria" w:eastAsia="Cambria" w:hAnsi="Cambria"/>
          <w:color w:val="000000" w:themeColor="text1"/>
          <w:lang w:val="en-GB"/>
        </w:rPr>
        <w:t xml:space="preserve"> </w:t>
      </w:r>
      <w:r w:rsidR="00CE5032">
        <w:rPr>
          <w:rFonts w:ascii="Cambria" w:eastAsia="Cambria" w:hAnsi="Cambria"/>
          <w:color w:val="000000" w:themeColor="text1"/>
          <w:lang w:val="en-GB"/>
        </w:rPr>
        <w:t xml:space="preserve">or in paper form to the UG Service Section for Foreign </w:t>
      </w:r>
      <w:r w:rsidR="00CE5032" w:rsidRPr="001A53A4">
        <w:rPr>
          <w:rFonts w:ascii="Cambria" w:eastAsia="Cambria" w:hAnsi="Cambria"/>
          <w:color w:val="000000" w:themeColor="text1"/>
          <w:lang w:val="en-GB"/>
        </w:rPr>
        <w:t xml:space="preserve">Professors. </w:t>
      </w:r>
    </w:p>
    <w:p w14:paraId="0C7AEF86" w14:textId="76F37D2D" w:rsidR="007C0408" w:rsidRPr="001A53A4" w:rsidRDefault="00C42079" w:rsidP="007C0408">
      <w:pPr>
        <w:numPr>
          <w:ilvl w:val="0"/>
          <w:numId w:val="27"/>
        </w:numPr>
        <w:spacing w:line="276" w:lineRule="auto"/>
        <w:ind w:hanging="428"/>
        <w:jc w:val="both"/>
        <w:rPr>
          <w:rFonts w:ascii="Cambria" w:hAnsi="Cambria"/>
          <w:color w:val="000000" w:themeColor="text1"/>
          <w:lang w:val="en-GB"/>
        </w:rPr>
      </w:pPr>
      <w:r w:rsidRPr="001A53A4">
        <w:rPr>
          <w:rFonts w:ascii="Cambria" w:hAnsi="Cambria"/>
          <w:color w:val="000000" w:themeColor="text1"/>
          <w:lang w:val="en-GB"/>
        </w:rPr>
        <w:t xml:space="preserve">Submission of </w:t>
      </w:r>
      <w:r w:rsidR="00CE5032" w:rsidRPr="001A53A4">
        <w:rPr>
          <w:rFonts w:ascii="Cambria" w:hAnsi="Cambria"/>
          <w:color w:val="000000" w:themeColor="text1"/>
          <w:lang w:val="en-GB"/>
        </w:rPr>
        <w:t>an application shall be</w:t>
      </w:r>
      <w:r w:rsidRPr="001A53A4">
        <w:rPr>
          <w:rFonts w:ascii="Cambria" w:hAnsi="Cambria"/>
          <w:color w:val="000000" w:themeColor="text1"/>
          <w:lang w:val="en-GB"/>
        </w:rPr>
        <w:t xml:space="preserve"> </w:t>
      </w:r>
      <w:r w:rsidR="001A53A4" w:rsidRPr="001A53A4">
        <w:rPr>
          <w:rFonts w:ascii="Cambria" w:hAnsi="Cambria"/>
          <w:color w:val="000000" w:themeColor="text1"/>
          <w:lang w:val="en-GB"/>
        </w:rPr>
        <w:t>understood</w:t>
      </w:r>
      <w:r w:rsidRPr="001A53A4">
        <w:rPr>
          <w:rFonts w:ascii="Cambria" w:hAnsi="Cambria"/>
          <w:color w:val="000000" w:themeColor="text1"/>
          <w:lang w:val="en-GB"/>
        </w:rPr>
        <w:t xml:space="preserve"> as acceptance</w:t>
      </w:r>
      <w:r w:rsidR="00CE5032" w:rsidRPr="001A53A4">
        <w:rPr>
          <w:rFonts w:ascii="Cambria" w:hAnsi="Cambria"/>
          <w:color w:val="000000" w:themeColor="text1"/>
          <w:lang w:val="en-GB"/>
        </w:rPr>
        <w:t xml:space="preserve"> </w:t>
      </w:r>
      <w:r w:rsidRPr="001A53A4">
        <w:rPr>
          <w:rFonts w:ascii="Cambria" w:hAnsi="Cambria"/>
          <w:color w:val="000000" w:themeColor="text1"/>
          <w:lang w:val="en-GB"/>
        </w:rPr>
        <w:t>of the</w:t>
      </w:r>
      <w:r w:rsidR="00CE5032" w:rsidRPr="001A53A4">
        <w:rPr>
          <w:rFonts w:ascii="Cambria" w:hAnsi="Cambria"/>
          <w:color w:val="000000" w:themeColor="text1"/>
          <w:lang w:val="en-GB"/>
        </w:rPr>
        <w:t xml:space="preserve"> provisions of this decree. </w:t>
      </w:r>
    </w:p>
    <w:p w14:paraId="6343922A" w14:textId="77777777" w:rsidR="00956691" w:rsidRPr="005A09F9" w:rsidRDefault="00956691" w:rsidP="00956691">
      <w:pPr>
        <w:rPr>
          <w:rFonts w:eastAsia="Cambria"/>
          <w:color w:val="000000" w:themeColor="text1"/>
          <w:lang w:val="en-GB"/>
        </w:rPr>
      </w:pPr>
    </w:p>
    <w:p w14:paraId="324B2EB9" w14:textId="77777777" w:rsidR="007C0408" w:rsidRPr="005A09F9" w:rsidRDefault="007C0408" w:rsidP="00956691">
      <w:pPr>
        <w:jc w:val="center"/>
        <w:rPr>
          <w:color w:val="000000" w:themeColor="text1"/>
          <w:lang w:val="en-GB"/>
        </w:rPr>
      </w:pPr>
      <w:r w:rsidRPr="005A09F9">
        <w:rPr>
          <w:rFonts w:eastAsia="Cambria"/>
          <w:color w:val="000000" w:themeColor="text1"/>
          <w:lang w:val="en-GB"/>
        </w:rPr>
        <w:t>§ 6.</w:t>
      </w:r>
    </w:p>
    <w:p w14:paraId="094C4467" w14:textId="49D0C8F2" w:rsidR="007C0408" w:rsidRPr="005A09F9" w:rsidRDefault="00CE5032" w:rsidP="00C66CAE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lang w:val="en-GB"/>
        </w:rPr>
      </w:pPr>
      <w:r>
        <w:rPr>
          <w:rFonts w:cs="Times New Roman"/>
          <w:color w:val="000000" w:themeColor="text1"/>
          <w:lang w:val="en-GB"/>
        </w:rPr>
        <w:t xml:space="preserve">The decision on </w:t>
      </w:r>
      <w:r w:rsidR="00BA509D">
        <w:rPr>
          <w:rFonts w:cs="Times New Roman"/>
          <w:color w:val="000000" w:themeColor="text1"/>
          <w:lang w:val="en-GB"/>
        </w:rPr>
        <w:t xml:space="preserve">awarding funding shall be taken by the Rector in consultation with the Committee for the verification of applications, hereinafter referred to as “Committee”, comprising:  </w:t>
      </w:r>
    </w:p>
    <w:p w14:paraId="4DE8EB0D" w14:textId="58F2BD62" w:rsidR="007C0408" w:rsidRPr="005A09F9" w:rsidRDefault="00BA509D" w:rsidP="00EA11D0">
      <w:pPr>
        <w:numPr>
          <w:ilvl w:val="1"/>
          <w:numId w:val="28"/>
        </w:numPr>
        <w:spacing w:line="276" w:lineRule="auto"/>
        <w:ind w:hanging="294"/>
        <w:jc w:val="both"/>
        <w:rPr>
          <w:rFonts w:ascii="Cambria" w:hAnsi="Cambria"/>
          <w:color w:val="000000" w:themeColor="text1"/>
          <w:lang w:val="en-GB"/>
        </w:rPr>
      </w:pPr>
      <w:bookmarkStart w:id="4" w:name="_Hlk88145104"/>
      <w:r>
        <w:rPr>
          <w:rFonts w:ascii="Cambria" w:eastAsia="Cambria" w:hAnsi="Cambria"/>
          <w:color w:val="000000" w:themeColor="text1"/>
          <w:lang w:val="en-GB"/>
        </w:rPr>
        <w:t xml:space="preserve">competent Vice-Rector for </w:t>
      </w:r>
      <w:bookmarkEnd w:id="4"/>
      <w:r>
        <w:rPr>
          <w:rFonts w:ascii="Cambria" w:eastAsia="Cambria" w:hAnsi="Cambria"/>
          <w:color w:val="000000" w:themeColor="text1"/>
          <w:lang w:val="en-GB"/>
        </w:rPr>
        <w:t>international cooperation</w:t>
      </w:r>
      <w:r>
        <w:rPr>
          <w:rFonts w:ascii="Cambria" w:hAnsi="Cambria"/>
          <w:color w:val="000000" w:themeColor="text1"/>
          <w:lang w:val="en-GB"/>
        </w:rPr>
        <w:t xml:space="preserve"> </w:t>
      </w:r>
      <w:r w:rsidR="007C0408" w:rsidRPr="005A09F9">
        <w:rPr>
          <w:rFonts w:ascii="Cambria" w:hAnsi="Cambria"/>
          <w:color w:val="000000" w:themeColor="text1"/>
          <w:lang w:val="en-GB"/>
        </w:rPr>
        <w:t>–</w:t>
      </w:r>
      <w:r>
        <w:rPr>
          <w:rFonts w:ascii="Cambria" w:hAnsi="Cambria"/>
          <w:color w:val="000000" w:themeColor="text1"/>
          <w:lang w:val="en-GB"/>
        </w:rPr>
        <w:t xml:space="preserve"> Chair</w:t>
      </w:r>
      <w:r w:rsidR="007C0408" w:rsidRPr="005A09F9">
        <w:rPr>
          <w:rFonts w:ascii="Cambria" w:hAnsi="Cambria"/>
          <w:color w:val="000000" w:themeColor="text1"/>
          <w:lang w:val="en-GB"/>
        </w:rPr>
        <w:t>;</w:t>
      </w:r>
      <w:r w:rsidR="007C0408" w:rsidRPr="005A09F9">
        <w:rPr>
          <w:rFonts w:ascii="Cambria" w:eastAsia="Cambria" w:hAnsi="Cambria"/>
          <w:color w:val="000000" w:themeColor="text1"/>
          <w:lang w:val="en-GB"/>
        </w:rPr>
        <w:t xml:space="preserve"> </w:t>
      </w:r>
    </w:p>
    <w:p w14:paraId="7B8E1E12" w14:textId="4A115D74" w:rsidR="007C0408" w:rsidRPr="005A09F9" w:rsidRDefault="00BA509D" w:rsidP="00EA11D0">
      <w:pPr>
        <w:numPr>
          <w:ilvl w:val="1"/>
          <w:numId w:val="28"/>
        </w:numPr>
        <w:spacing w:line="276" w:lineRule="auto"/>
        <w:ind w:hanging="294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eastAsia="Cambria" w:hAnsi="Cambria"/>
          <w:color w:val="000000" w:themeColor="text1"/>
          <w:lang w:val="en-GB"/>
        </w:rPr>
        <w:t>competent Vice-Rector for</w:t>
      </w:r>
      <w:r>
        <w:rPr>
          <w:rFonts w:ascii="Cambria" w:hAnsi="Cambria"/>
          <w:color w:val="000000" w:themeColor="text1"/>
          <w:lang w:val="en-GB"/>
        </w:rPr>
        <w:t xml:space="preserve"> research</w:t>
      </w:r>
      <w:r w:rsidR="00C66CAE" w:rsidRPr="005A09F9">
        <w:rPr>
          <w:rFonts w:ascii="Cambria" w:hAnsi="Cambria"/>
          <w:color w:val="000000" w:themeColor="text1"/>
          <w:lang w:val="en-GB"/>
        </w:rPr>
        <w:t>;</w:t>
      </w:r>
    </w:p>
    <w:p w14:paraId="16249C44" w14:textId="45958956" w:rsidR="00C66CAE" w:rsidRPr="005A09F9" w:rsidRDefault="00BA509D" w:rsidP="00EA11D0">
      <w:pPr>
        <w:numPr>
          <w:ilvl w:val="1"/>
          <w:numId w:val="28"/>
        </w:numPr>
        <w:spacing w:line="276" w:lineRule="auto"/>
        <w:ind w:hanging="294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eastAsia="Cambria" w:hAnsi="Cambria"/>
          <w:color w:val="000000" w:themeColor="text1"/>
          <w:lang w:val="en-GB"/>
        </w:rPr>
        <w:t>competent Vice-Rector for</w:t>
      </w:r>
      <w:r>
        <w:rPr>
          <w:rFonts w:ascii="Cambria" w:hAnsi="Cambria"/>
          <w:color w:val="000000" w:themeColor="text1"/>
          <w:lang w:val="en-GB"/>
        </w:rPr>
        <w:t xml:space="preserve"> education</w:t>
      </w:r>
      <w:r w:rsidR="00C66CAE" w:rsidRPr="005A09F9">
        <w:rPr>
          <w:rFonts w:ascii="Cambria" w:hAnsi="Cambria"/>
          <w:color w:val="000000" w:themeColor="text1"/>
          <w:lang w:val="en-GB"/>
        </w:rPr>
        <w:t>.</w:t>
      </w:r>
    </w:p>
    <w:p w14:paraId="158B9CC5" w14:textId="708C824A" w:rsidR="007C0408" w:rsidRPr="005A09F9" w:rsidRDefault="00ED4D37" w:rsidP="00C66CAE">
      <w:pPr>
        <w:spacing w:line="276" w:lineRule="auto"/>
        <w:ind w:left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The administrative management of the Committee shall be provided by the </w:t>
      </w:r>
      <w:r w:rsidRPr="00ED4D37">
        <w:rPr>
          <w:rFonts w:ascii="Cambria" w:hAnsi="Cambria"/>
          <w:color w:val="000000" w:themeColor="text1"/>
          <w:lang w:val="en-GB"/>
        </w:rPr>
        <w:t xml:space="preserve">UG Service Section for Foreign Professors. </w:t>
      </w:r>
    </w:p>
    <w:p w14:paraId="2809F0A8" w14:textId="22545E16" w:rsidR="007C0408" w:rsidRPr="005A09F9" w:rsidRDefault="00CA3950" w:rsidP="007C0408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cs="Times New Roman"/>
          <w:color w:val="000000" w:themeColor="text1"/>
          <w:lang w:val="en-GB"/>
        </w:rPr>
      </w:pPr>
      <w:r>
        <w:rPr>
          <w:rFonts w:cs="Times New Roman"/>
          <w:color w:val="000000" w:themeColor="text1"/>
          <w:lang w:val="en-GB"/>
        </w:rPr>
        <w:t xml:space="preserve">The Rector’s decision shall be final. </w:t>
      </w:r>
    </w:p>
    <w:p w14:paraId="206234A0" w14:textId="2B8FD07F" w:rsidR="007C0408" w:rsidRPr="001A53A4" w:rsidRDefault="00ED4D37" w:rsidP="007C040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eastAsia="Cambria" w:hAnsi="Cambria"/>
          <w:color w:val="000000" w:themeColor="text1"/>
          <w:lang w:val="en-GB"/>
        </w:rPr>
        <w:t xml:space="preserve">The information regarding the Rector’s decision shall be </w:t>
      </w:r>
      <w:r w:rsidR="00335F0F">
        <w:rPr>
          <w:rFonts w:ascii="Cambria" w:eastAsia="Cambria" w:hAnsi="Cambria"/>
          <w:color w:val="000000" w:themeColor="text1"/>
          <w:lang w:val="en-GB"/>
        </w:rPr>
        <w:t xml:space="preserve">individually </w:t>
      </w:r>
      <w:r>
        <w:rPr>
          <w:rFonts w:ascii="Cambria" w:eastAsia="Cambria" w:hAnsi="Cambria"/>
          <w:color w:val="000000" w:themeColor="text1"/>
          <w:lang w:val="en-GB"/>
        </w:rPr>
        <w:t xml:space="preserve">communicated </w:t>
      </w:r>
      <w:r w:rsidR="00335F0F" w:rsidRPr="001A53A4">
        <w:rPr>
          <w:rFonts w:ascii="Cambria" w:eastAsia="Cambria" w:hAnsi="Cambria"/>
          <w:color w:val="000000" w:themeColor="text1"/>
          <w:lang w:val="en-GB"/>
        </w:rPr>
        <w:t xml:space="preserve">to the applicant in writing. </w:t>
      </w:r>
      <w:r w:rsidR="001A53A4" w:rsidRPr="001A53A4">
        <w:rPr>
          <w:rFonts w:ascii="Cambria" w:eastAsia="Cambria" w:hAnsi="Cambria"/>
          <w:color w:val="000000" w:themeColor="text1"/>
          <w:lang w:val="en-GB"/>
        </w:rPr>
        <w:t>Electronic c</w:t>
      </w:r>
      <w:r w:rsidR="00335F0F" w:rsidRPr="001A53A4">
        <w:rPr>
          <w:rFonts w:ascii="Cambria" w:eastAsia="Cambria" w:hAnsi="Cambria"/>
          <w:color w:val="000000" w:themeColor="text1"/>
          <w:lang w:val="en-GB"/>
        </w:rPr>
        <w:t>ommunicati</w:t>
      </w:r>
      <w:r w:rsidR="001A53A4" w:rsidRPr="001A53A4">
        <w:rPr>
          <w:rFonts w:ascii="Cambria" w:eastAsia="Cambria" w:hAnsi="Cambria"/>
          <w:color w:val="000000" w:themeColor="text1"/>
          <w:lang w:val="en-GB"/>
        </w:rPr>
        <w:t>on of</w:t>
      </w:r>
      <w:r w:rsidR="00335F0F" w:rsidRPr="001A53A4">
        <w:rPr>
          <w:rFonts w:ascii="Cambria" w:eastAsia="Cambria" w:hAnsi="Cambria"/>
          <w:color w:val="000000" w:themeColor="text1"/>
          <w:lang w:val="en-GB"/>
        </w:rPr>
        <w:t xml:space="preserve"> the decision shall also be </w:t>
      </w:r>
      <w:r w:rsidR="001A53A4" w:rsidRPr="001A53A4">
        <w:rPr>
          <w:rFonts w:ascii="Cambria" w:eastAsia="Cambria" w:hAnsi="Cambria"/>
          <w:color w:val="000000" w:themeColor="text1"/>
          <w:lang w:val="en-GB"/>
        </w:rPr>
        <w:t>possible</w:t>
      </w:r>
      <w:r w:rsidR="00335F0F" w:rsidRPr="001A53A4">
        <w:rPr>
          <w:rFonts w:ascii="Cambria" w:eastAsia="Cambria" w:hAnsi="Cambria"/>
          <w:color w:val="000000" w:themeColor="text1"/>
          <w:lang w:val="en-GB"/>
        </w:rPr>
        <w:t xml:space="preserve">. </w:t>
      </w:r>
    </w:p>
    <w:p w14:paraId="72899E90" w14:textId="77777777" w:rsidR="007C0408" w:rsidRPr="005A09F9" w:rsidRDefault="007C0408" w:rsidP="00C66CAE">
      <w:pPr>
        <w:spacing w:line="276" w:lineRule="auto"/>
        <w:rPr>
          <w:rFonts w:ascii="Cambria" w:hAnsi="Cambria"/>
          <w:color w:val="000000" w:themeColor="text1"/>
          <w:lang w:val="en-GB"/>
        </w:rPr>
      </w:pPr>
    </w:p>
    <w:p w14:paraId="2494DC3F" w14:textId="77777777" w:rsidR="007C0408" w:rsidRPr="005A09F9" w:rsidRDefault="007C0408" w:rsidP="007C0408">
      <w:pPr>
        <w:spacing w:line="276" w:lineRule="auto"/>
        <w:ind w:left="10" w:right="3" w:hanging="10"/>
        <w:jc w:val="center"/>
        <w:rPr>
          <w:rFonts w:ascii="Cambria" w:hAnsi="Cambria"/>
          <w:color w:val="000000" w:themeColor="text1"/>
          <w:lang w:val="en-GB"/>
        </w:rPr>
      </w:pPr>
      <w:r w:rsidRPr="005A09F9">
        <w:rPr>
          <w:rFonts w:ascii="Cambria" w:hAnsi="Cambria"/>
          <w:color w:val="000000" w:themeColor="text1"/>
          <w:lang w:val="en-GB"/>
        </w:rPr>
        <w:t>§ 7</w:t>
      </w:r>
      <w:r w:rsidR="00C66CAE" w:rsidRPr="005A09F9">
        <w:rPr>
          <w:rFonts w:ascii="Cambria" w:hAnsi="Cambria"/>
          <w:color w:val="000000" w:themeColor="text1"/>
          <w:lang w:val="en-GB"/>
        </w:rPr>
        <w:t>.</w:t>
      </w:r>
    </w:p>
    <w:p w14:paraId="7DD21FF2" w14:textId="583CAE5B" w:rsidR="007C0408" w:rsidRPr="005A09F9" w:rsidRDefault="009A6A2B" w:rsidP="007C0408">
      <w:pPr>
        <w:numPr>
          <w:ilvl w:val="0"/>
          <w:numId w:val="25"/>
        </w:numPr>
        <w:spacing w:line="276" w:lineRule="auto"/>
        <w:ind w:hanging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A professor’s visit must commence </w:t>
      </w:r>
      <w:r w:rsidR="00397A61">
        <w:rPr>
          <w:rFonts w:ascii="Cambria" w:hAnsi="Cambria"/>
          <w:color w:val="000000" w:themeColor="text1"/>
          <w:lang w:val="en-GB"/>
        </w:rPr>
        <w:t xml:space="preserve">in the calendar year in which funding for the implementation of the visit was allocated. </w:t>
      </w:r>
    </w:p>
    <w:p w14:paraId="01207690" w14:textId="4E0A49F0" w:rsidR="007C0408" w:rsidRPr="005A09F9" w:rsidRDefault="00397A61" w:rsidP="002E05B3">
      <w:pPr>
        <w:numPr>
          <w:ilvl w:val="0"/>
          <w:numId w:val="25"/>
        </w:numPr>
        <w:spacing w:line="276" w:lineRule="auto"/>
        <w:ind w:hanging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 xml:space="preserve">Within fourteen days from the conclusion of the visit, the visit’s supervisor shall submit a report on the implementation of the visit to a competent Vice-Rector for international cooperation. </w:t>
      </w:r>
      <w:r w:rsidR="00EA6F1B">
        <w:rPr>
          <w:rFonts w:ascii="Cambria" w:hAnsi="Cambria"/>
          <w:color w:val="000000" w:themeColor="text1"/>
          <w:lang w:val="en-GB"/>
        </w:rPr>
        <w:t>The</w:t>
      </w:r>
      <w:r>
        <w:rPr>
          <w:rFonts w:ascii="Cambria" w:hAnsi="Cambria"/>
          <w:color w:val="000000" w:themeColor="text1"/>
          <w:lang w:val="en-GB"/>
        </w:rPr>
        <w:t xml:space="preserve"> specimen of the report is available at the UG website in </w:t>
      </w:r>
      <w:r>
        <w:rPr>
          <w:rFonts w:ascii="Cambria" w:eastAsia="Cambria" w:hAnsi="Cambria"/>
          <w:color w:val="000000" w:themeColor="text1"/>
          <w:lang w:val="en-GB"/>
        </w:rPr>
        <w:t xml:space="preserve">in the “Cooperation” tab. </w:t>
      </w:r>
    </w:p>
    <w:p w14:paraId="073DFFF7" w14:textId="3F3BE9B2" w:rsidR="00435298" w:rsidRPr="005A09F9" w:rsidRDefault="00397A61" w:rsidP="002E05B3">
      <w:pPr>
        <w:numPr>
          <w:ilvl w:val="0"/>
          <w:numId w:val="25"/>
        </w:numPr>
        <w:spacing w:line="276" w:lineRule="auto"/>
        <w:ind w:hanging="360"/>
        <w:jc w:val="both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lang w:val="en-GB"/>
        </w:rPr>
        <w:t xml:space="preserve">The visit should be reported for the </w:t>
      </w:r>
      <w:r w:rsidR="00CA3950">
        <w:rPr>
          <w:rFonts w:ascii="Cambria" w:hAnsi="Cambria"/>
          <w:lang w:val="en-GB"/>
        </w:rPr>
        <w:t xml:space="preserve">register of foreign visits according to the rules provided for in a separate decree of the Rector. </w:t>
      </w:r>
    </w:p>
    <w:p w14:paraId="6EBE1F55" w14:textId="77777777" w:rsidR="007C0408" w:rsidRPr="005A09F9" w:rsidRDefault="007C0408" w:rsidP="00BE713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ambria" w:hAnsi="Cambria"/>
          <w:b w:val="0"/>
          <w:color w:val="000000" w:themeColor="text1"/>
          <w:lang w:val="en-GB"/>
        </w:rPr>
      </w:pPr>
    </w:p>
    <w:p w14:paraId="0EC4F1A0" w14:textId="77777777" w:rsidR="008557F1" w:rsidRPr="005A09F9" w:rsidRDefault="008557F1" w:rsidP="00113253">
      <w:pPr>
        <w:pStyle w:val="NormalWeb"/>
        <w:keepNext/>
        <w:spacing w:before="0" w:beforeAutospacing="0" w:after="0" w:afterAutospacing="0" w:line="276" w:lineRule="auto"/>
        <w:jc w:val="center"/>
        <w:rPr>
          <w:rStyle w:val="Strong"/>
          <w:rFonts w:ascii="Cambria" w:hAnsi="Cambria"/>
          <w:b w:val="0"/>
          <w:color w:val="000000" w:themeColor="text1"/>
          <w:lang w:val="en-GB"/>
        </w:rPr>
      </w:pPr>
      <w:r w:rsidRPr="005A09F9">
        <w:rPr>
          <w:rStyle w:val="Strong"/>
          <w:rFonts w:ascii="Cambria" w:hAnsi="Cambria"/>
          <w:b w:val="0"/>
          <w:color w:val="000000" w:themeColor="text1"/>
          <w:lang w:val="en-GB"/>
        </w:rPr>
        <w:t xml:space="preserve">§ </w:t>
      </w:r>
      <w:r w:rsidR="00C66CAE" w:rsidRPr="005A09F9">
        <w:rPr>
          <w:rStyle w:val="Strong"/>
          <w:rFonts w:ascii="Cambria" w:hAnsi="Cambria"/>
          <w:b w:val="0"/>
          <w:color w:val="000000" w:themeColor="text1"/>
          <w:lang w:val="en-GB"/>
        </w:rPr>
        <w:t>8</w:t>
      </w:r>
      <w:r w:rsidRPr="005A09F9">
        <w:rPr>
          <w:rStyle w:val="Strong"/>
          <w:rFonts w:ascii="Cambria" w:hAnsi="Cambria"/>
          <w:b w:val="0"/>
          <w:color w:val="000000" w:themeColor="text1"/>
          <w:lang w:val="en-GB"/>
        </w:rPr>
        <w:t>.</w:t>
      </w:r>
    </w:p>
    <w:p w14:paraId="737F0BFE" w14:textId="7B1A7729" w:rsidR="00E11E1A" w:rsidRPr="00E11E1A" w:rsidRDefault="00E11E1A" w:rsidP="00E11E1A">
      <w:pPr>
        <w:spacing w:line="276" w:lineRule="auto"/>
        <w:jc w:val="both"/>
        <w:rPr>
          <w:rFonts w:ascii="Cambria" w:eastAsia="Calibri" w:hAnsi="Cambria"/>
          <w:lang w:val="en-GB" w:eastAsia="en-US"/>
        </w:rPr>
      </w:pPr>
      <w:r w:rsidRPr="00E11E1A">
        <w:rPr>
          <w:rFonts w:ascii="Cambria" w:eastAsia="Calibri" w:hAnsi="Cambria"/>
          <w:lang w:val="en-GB" w:eastAsia="en-US"/>
        </w:rPr>
        <w:t xml:space="preserve">The Decree shall come into force on </w:t>
      </w:r>
      <w:r>
        <w:rPr>
          <w:rFonts w:ascii="Cambria" w:eastAsia="Calibri" w:hAnsi="Cambria"/>
          <w:lang w:val="en-GB" w:eastAsia="en-US"/>
        </w:rPr>
        <w:t xml:space="preserve">the day </w:t>
      </w:r>
      <w:r w:rsidR="00906BDA">
        <w:rPr>
          <w:rFonts w:ascii="Cambria" w:eastAsia="Calibri" w:hAnsi="Cambria"/>
          <w:lang w:val="en-GB" w:eastAsia="en-US"/>
        </w:rPr>
        <w:t>it is signed</w:t>
      </w:r>
      <w:r>
        <w:rPr>
          <w:rFonts w:ascii="Cambria" w:eastAsia="Calibri" w:hAnsi="Cambria"/>
          <w:lang w:val="en-GB" w:eastAsia="en-US"/>
        </w:rPr>
        <w:t xml:space="preserve">. </w:t>
      </w:r>
    </w:p>
    <w:p w14:paraId="6BFC122C" w14:textId="77777777" w:rsidR="00E11E1A" w:rsidRPr="00E11E1A" w:rsidRDefault="00E11E1A" w:rsidP="00E11E1A">
      <w:pPr>
        <w:spacing w:line="276" w:lineRule="auto"/>
        <w:contextualSpacing/>
        <w:jc w:val="both"/>
        <w:rPr>
          <w:rFonts w:ascii="Cambria" w:eastAsia="Calibri" w:hAnsi="Cambria"/>
          <w:lang w:val="en-GB" w:eastAsia="en-US"/>
        </w:rPr>
      </w:pPr>
    </w:p>
    <w:p w14:paraId="34763069" w14:textId="40520869" w:rsidR="00112F37" w:rsidRPr="005A09F9" w:rsidRDefault="00112F37" w:rsidP="00BE713E">
      <w:pPr>
        <w:spacing w:line="276" w:lineRule="auto"/>
        <w:jc w:val="both"/>
        <w:rPr>
          <w:rFonts w:ascii="Cambria" w:hAnsi="Cambria"/>
          <w:color w:val="000000" w:themeColor="text1"/>
          <w:lang w:val="en-GB"/>
        </w:rPr>
      </w:pPr>
    </w:p>
    <w:p w14:paraId="352C0935" w14:textId="77777777" w:rsidR="00B96336" w:rsidRPr="005A09F9" w:rsidRDefault="00B96336" w:rsidP="00BE713E">
      <w:pPr>
        <w:spacing w:line="276" w:lineRule="auto"/>
        <w:rPr>
          <w:rFonts w:ascii="Cambria" w:hAnsi="Cambria"/>
          <w:lang w:val="en-GB"/>
        </w:rPr>
      </w:pPr>
    </w:p>
    <w:p w14:paraId="756A00A8" w14:textId="77777777" w:rsidR="002053B6" w:rsidRPr="005A09F9" w:rsidRDefault="002053B6" w:rsidP="00BE713E">
      <w:pPr>
        <w:spacing w:line="276" w:lineRule="auto"/>
        <w:rPr>
          <w:rFonts w:ascii="Cambria" w:hAnsi="Cambria"/>
          <w:lang w:val="en-GB"/>
        </w:rPr>
      </w:pPr>
    </w:p>
    <w:p w14:paraId="22065805" w14:textId="77777777" w:rsidR="00E11E1A" w:rsidRPr="00E11E1A" w:rsidRDefault="00E11E1A" w:rsidP="00E11E1A">
      <w:pPr>
        <w:spacing w:line="276" w:lineRule="auto"/>
        <w:ind w:left="4956"/>
        <w:jc w:val="center"/>
        <w:rPr>
          <w:rFonts w:ascii="Cambria" w:hAnsi="Cambria"/>
          <w:lang w:val="en-GB"/>
        </w:rPr>
      </w:pPr>
      <w:r w:rsidRPr="00E11E1A">
        <w:rPr>
          <w:rFonts w:ascii="Cambria" w:hAnsi="Cambria"/>
          <w:lang w:val="en-GB"/>
        </w:rPr>
        <w:t>Rector</w:t>
      </w:r>
    </w:p>
    <w:p w14:paraId="686B83B7" w14:textId="77777777" w:rsidR="00E11E1A" w:rsidRPr="00E11E1A" w:rsidRDefault="00E11E1A" w:rsidP="00E11E1A">
      <w:pPr>
        <w:spacing w:line="276" w:lineRule="auto"/>
        <w:ind w:left="4956"/>
        <w:jc w:val="center"/>
        <w:rPr>
          <w:rFonts w:ascii="Cambria" w:hAnsi="Cambria"/>
          <w:lang w:val="en-GB"/>
        </w:rPr>
      </w:pPr>
      <w:r w:rsidRPr="00E11E1A">
        <w:rPr>
          <w:rFonts w:ascii="Cambria" w:hAnsi="Cambria"/>
          <w:lang w:val="en-GB"/>
        </w:rPr>
        <w:t>of the University of Gdańsk</w:t>
      </w:r>
    </w:p>
    <w:p w14:paraId="7FA903C1" w14:textId="77777777" w:rsidR="00E11E1A" w:rsidRPr="00E11E1A" w:rsidRDefault="00E11E1A" w:rsidP="00E11E1A">
      <w:pPr>
        <w:spacing w:line="276" w:lineRule="auto"/>
        <w:ind w:left="4956"/>
        <w:jc w:val="center"/>
        <w:rPr>
          <w:rFonts w:ascii="Cambria" w:hAnsi="Cambria"/>
          <w:lang w:val="en-GB"/>
        </w:rPr>
      </w:pPr>
    </w:p>
    <w:p w14:paraId="1202021F" w14:textId="77777777" w:rsidR="00E11E1A" w:rsidRPr="00E11E1A" w:rsidRDefault="00E11E1A" w:rsidP="00E11E1A">
      <w:pPr>
        <w:spacing w:line="276" w:lineRule="auto"/>
        <w:ind w:left="4956"/>
        <w:jc w:val="center"/>
        <w:rPr>
          <w:rFonts w:ascii="Cambria" w:hAnsi="Cambria"/>
          <w:lang w:val="en-GB"/>
        </w:rPr>
      </w:pPr>
      <w:r w:rsidRPr="00E11E1A">
        <w:rPr>
          <w:rFonts w:ascii="Cambria" w:hAnsi="Cambria"/>
          <w:lang w:val="en-GB"/>
        </w:rPr>
        <w:t>Prof. Piotr Stepnowski</w:t>
      </w:r>
    </w:p>
    <w:p w14:paraId="41D87147" w14:textId="72180E3D" w:rsidR="00E57CE2" w:rsidRPr="005A09F9" w:rsidRDefault="00E11E1A" w:rsidP="00E11E1A">
      <w:pPr>
        <w:spacing w:line="276" w:lineRule="auto"/>
        <w:ind w:left="4956"/>
        <w:jc w:val="center"/>
        <w:rPr>
          <w:rFonts w:ascii="Cambria" w:hAnsi="Cambria"/>
          <w:lang w:val="en-GB"/>
        </w:rPr>
      </w:pPr>
      <w:r w:rsidRPr="00E11E1A">
        <w:rPr>
          <w:rFonts w:ascii="Cambria" w:hAnsi="Cambria"/>
          <w:lang w:val="en-GB"/>
        </w:rPr>
        <w:t> </w:t>
      </w:r>
    </w:p>
    <w:p w14:paraId="28AB0E64" w14:textId="6827FCE8" w:rsidR="00311BC5" w:rsidRPr="005A09F9" w:rsidRDefault="00311BC5">
      <w:pPr>
        <w:rPr>
          <w:lang w:val="en-GB"/>
        </w:rPr>
      </w:pPr>
    </w:p>
    <w:p w14:paraId="7749DF06" w14:textId="173356FF" w:rsidR="00B56301" w:rsidRPr="005A09F9" w:rsidRDefault="00B56301">
      <w:pPr>
        <w:rPr>
          <w:b/>
          <w:lang w:val="en-GB"/>
        </w:rPr>
      </w:pPr>
    </w:p>
    <w:sectPr w:rsidR="00B56301" w:rsidRPr="005A09F9" w:rsidSect="00B7517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822F" w14:textId="77777777" w:rsidR="00345E3C" w:rsidRDefault="00345E3C" w:rsidP="00086CF6">
      <w:r>
        <w:separator/>
      </w:r>
    </w:p>
  </w:endnote>
  <w:endnote w:type="continuationSeparator" w:id="0">
    <w:p w14:paraId="5B845053" w14:textId="77777777" w:rsidR="00345E3C" w:rsidRDefault="00345E3C" w:rsidP="0008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22"/>
        <w:szCs w:val="22"/>
      </w:rPr>
      <w:id w:val="2144310720"/>
      <w:docPartObj>
        <w:docPartGallery w:val="Page Numbers (Bottom of Page)"/>
        <w:docPartUnique/>
      </w:docPartObj>
    </w:sdtPr>
    <w:sdtEndPr/>
    <w:sdtContent>
      <w:p w14:paraId="4EC25D7C" w14:textId="13D42AC3" w:rsidR="00BA60E3" w:rsidRPr="00117027" w:rsidRDefault="00BA60E3" w:rsidP="00117027">
        <w:pPr>
          <w:pStyle w:val="Footer"/>
          <w:jc w:val="center"/>
          <w:rPr>
            <w:color w:val="595959" w:themeColor="text1" w:themeTint="A6"/>
            <w:sz w:val="22"/>
            <w:szCs w:val="22"/>
          </w:rPr>
        </w:pPr>
        <w:r w:rsidRPr="00117027">
          <w:rPr>
            <w:color w:val="595959" w:themeColor="text1" w:themeTint="A6"/>
            <w:sz w:val="22"/>
            <w:szCs w:val="22"/>
            <w:lang w:val="pl-PL"/>
          </w:rPr>
          <w:t xml:space="preserve">- </w:t>
        </w:r>
        <w:r w:rsidRPr="00117027">
          <w:rPr>
            <w:color w:val="595959" w:themeColor="text1" w:themeTint="A6"/>
            <w:sz w:val="22"/>
            <w:szCs w:val="22"/>
          </w:rPr>
          <w:fldChar w:fldCharType="begin"/>
        </w:r>
        <w:r w:rsidRPr="00117027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117027">
          <w:rPr>
            <w:color w:val="595959" w:themeColor="text1" w:themeTint="A6"/>
            <w:sz w:val="22"/>
            <w:szCs w:val="22"/>
          </w:rPr>
          <w:fldChar w:fldCharType="separate"/>
        </w:r>
        <w:r w:rsidR="00DB4A1A" w:rsidRPr="00DB4A1A">
          <w:rPr>
            <w:noProof/>
            <w:color w:val="595959" w:themeColor="text1" w:themeTint="A6"/>
            <w:sz w:val="22"/>
            <w:szCs w:val="22"/>
            <w:lang w:val="pl-PL"/>
          </w:rPr>
          <w:t>4</w:t>
        </w:r>
        <w:r w:rsidRPr="00117027">
          <w:rPr>
            <w:color w:val="595959" w:themeColor="text1" w:themeTint="A6"/>
            <w:sz w:val="22"/>
            <w:szCs w:val="22"/>
          </w:rPr>
          <w:fldChar w:fldCharType="end"/>
        </w:r>
        <w:r w:rsidRPr="00117027">
          <w:rPr>
            <w:color w:val="595959" w:themeColor="text1" w:themeTint="A6"/>
            <w:sz w:val="22"/>
            <w:szCs w:val="22"/>
            <w:lang w:val="pl-PL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A541" w14:textId="77777777" w:rsidR="00345E3C" w:rsidRDefault="00345E3C" w:rsidP="00086CF6">
      <w:r>
        <w:separator/>
      </w:r>
    </w:p>
  </w:footnote>
  <w:footnote w:type="continuationSeparator" w:id="0">
    <w:p w14:paraId="12F34B0F" w14:textId="77777777" w:rsidR="00345E3C" w:rsidRDefault="00345E3C" w:rsidP="0008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2D"/>
    <w:multiLevelType w:val="hybridMultilevel"/>
    <w:tmpl w:val="338C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F5F"/>
    <w:multiLevelType w:val="hybridMultilevel"/>
    <w:tmpl w:val="DF44BA74"/>
    <w:lvl w:ilvl="0" w:tplc="A32094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9D27B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2A95"/>
    <w:multiLevelType w:val="hybridMultilevel"/>
    <w:tmpl w:val="B46885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71235B"/>
    <w:multiLevelType w:val="hybridMultilevel"/>
    <w:tmpl w:val="5E36B53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0FBA0414"/>
    <w:multiLevelType w:val="hybridMultilevel"/>
    <w:tmpl w:val="76D2F9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B067A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B3769"/>
    <w:multiLevelType w:val="hybridMultilevel"/>
    <w:tmpl w:val="DDFA7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7498B"/>
    <w:multiLevelType w:val="hybridMultilevel"/>
    <w:tmpl w:val="4B2EB0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A23BCC"/>
    <w:multiLevelType w:val="hybridMultilevel"/>
    <w:tmpl w:val="9E62B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67D2"/>
    <w:multiLevelType w:val="hybridMultilevel"/>
    <w:tmpl w:val="45EE3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FC9"/>
    <w:multiLevelType w:val="hybridMultilevel"/>
    <w:tmpl w:val="D6B2E180"/>
    <w:lvl w:ilvl="0" w:tplc="25CC672E">
      <w:start w:val="1"/>
      <w:numFmt w:val="decimal"/>
      <w:lvlText w:val="%1)"/>
      <w:lvlJc w:val="left"/>
      <w:pPr>
        <w:ind w:left="705" w:hanging="360"/>
      </w:pPr>
      <w:rPr>
        <w:rFonts w:ascii="Cambria" w:hAnsi="Cambria" w:cstheme="minorBidi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4A20B5E"/>
    <w:multiLevelType w:val="hybridMultilevel"/>
    <w:tmpl w:val="D31A4336"/>
    <w:lvl w:ilvl="0" w:tplc="2CDC60D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366E"/>
    <w:multiLevelType w:val="hybridMultilevel"/>
    <w:tmpl w:val="BC4C6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9548D"/>
    <w:multiLevelType w:val="hybridMultilevel"/>
    <w:tmpl w:val="E58E0482"/>
    <w:lvl w:ilvl="0" w:tplc="BDEEE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AE4621"/>
    <w:multiLevelType w:val="hybridMultilevel"/>
    <w:tmpl w:val="2AF6AE4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4" w15:restartNumberingAfterBreak="0">
    <w:nsid w:val="358E3BD2"/>
    <w:multiLevelType w:val="hybridMultilevel"/>
    <w:tmpl w:val="4CB09078"/>
    <w:lvl w:ilvl="0" w:tplc="CD9EC9C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42A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266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28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E1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5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E9D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F5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A75247"/>
    <w:multiLevelType w:val="hybridMultilevel"/>
    <w:tmpl w:val="59E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7D9F"/>
    <w:multiLevelType w:val="hybridMultilevel"/>
    <w:tmpl w:val="1B4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2F51"/>
    <w:multiLevelType w:val="hybridMultilevel"/>
    <w:tmpl w:val="C3D425BA"/>
    <w:lvl w:ilvl="0" w:tplc="6D70DE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CB5200C"/>
    <w:multiLevelType w:val="hybridMultilevel"/>
    <w:tmpl w:val="318ADD58"/>
    <w:lvl w:ilvl="0" w:tplc="25C694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81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99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88F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E1D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6B5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A3A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84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022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01DA0"/>
    <w:multiLevelType w:val="hybridMultilevel"/>
    <w:tmpl w:val="75B624B0"/>
    <w:lvl w:ilvl="0" w:tplc="FDD46A56">
      <w:start w:val="1"/>
      <w:numFmt w:val="decimal"/>
      <w:lvlText w:val="%1.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407FC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41C9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49C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61E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EB47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EC1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49A0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E541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2426B9"/>
    <w:multiLevelType w:val="hybridMultilevel"/>
    <w:tmpl w:val="9DCC0EC2"/>
    <w:lvl w:ilvl="0" w:tplc="BDEEE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F0272"/>
    <w:multiLevelType w:val="hybridMultilevel"/>
    <w:tmpl w:val="C46E44B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6C207CDE">
      <w:start w:val="1"/>
      <w:numFmt w:val="decimal"/>
      <w:lvlText w:val="%2."/>
      <w:lvlJc w:val="left"/>
      <w:pPr>
        <w:ind w:left="1767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EE73AA0"/>
    <w:multiLevelType w:val="hybridMultilevel"/>
    <w:tmpl w:val="B90A4E1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F2D467B"/>
    <w:multiLevelType w:val="hybridMultilevel"/>
    <w:tmpl w:val="45CAC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35748"/>
    <w:multiLevelType w:val="hybridMultilevel"/>
    <w:tmpl w:val="D588845C"/>
    <w:lvl w:ilvl="0" w:tplc="21D2E72E">
      <w:start w:val="1"/>
      <w:numFmt w:val="decimal"/>
      <w:lvlText w:val="%1."/>
      <w:lvlJc w:val="left"/>
      <w:pPr>
        <w:ind w:left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00FA">
      <w:start w:val="1"/>
      <w:numFmt w:val="decimal"/>
      <w:lvlText w:val="%2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32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00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A9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63C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02B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AC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C68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91120"/>
    <w:multiLevelType w:val="hybridMultilevel"/>
    <w:tmpl w:val="2076CC58"/>
    <w:lvl w:ilvl="0" w:tplc="D73CCBD8">
      <w:start w:val="1"/>
      <w:numFmt w:val="decimal"/>
      <w:lvlText w:val="%1)"/>
      <w:lvlJc w:val="left"/>
      <w:pPr>
        <w:ind w:left="705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7937A15"/>
    <w:multiLevelType w:val="hybridMultilevel"/>
    <w:tmpl w:val="9DF667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CA3852"/>
    <w:multiLevelType w:val="hybridMultilevel"/>
    <w:tmpl w:val="05A01376"/>
    <w:lvl w:ilvl="0" w:tplc="A7EA4BF6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</w:rPr>
    </w:lvl>
    <w:lvl w:ilvl="1" w:tplc="8760E004">
      <w:start w:val="1"/>
      <w:numFmt w:val="decimal"/>
      <w:lvlText w:val="%2)"/>
      <w:lvlJc w:val="left"/>
      <w:pPr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60AF6BBD"/>
    <w:multiLevelType w:val="hybridMultilevel"/>
    <w:tmpl w:val="36140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B2E02"/>
    <w:multiLevelType w:val="hybridMultilevel"/>
    <w:tmpl w:val="6C465AF0"/>
    <w:lvl w:ilvl="0" w:tplc="BDEEE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53F1"/>
    <w:multiLevelType w:val="hybridMultilevel"/>
    <w:tmpl w:val="7FB837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B0D1B5B"/>
    <w:multiLevelType w:val="hybridMultilevel"/>
    <w:tmpl w:val="2076CC58"/>
    <w:lvl w:ilvl="0" w:tplc="D73CCBD8">
      <w:start w:val="1"/>
      <w:numFmt w:val="decimal"/>
      <w:lvlText w:val="%1)"/>
      <w:lvlJc w:val="left"/>
      <w:pPr>
        <w:ind w:left="705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CE27BF1"/>
    <w:multiLevelType w:val="hybridMultilevel"/>
    <w:tmpl w:val="DD5E1342"/>
    <w:lvl w:ilvl="0" w:tplc="BDB697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5E406AE"/>
    <w:multiLevelType w:val="hybridMultilevel"/>
    <w:tmpl w:val="53D0E86A"/>
    <w:lvl w:ilvl="0" w:tplc="5AC4A1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91649"/>
    <w:multiLevelType w:val="hybridMultilevel"/>
    <w:tmpl w:val="94088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D27B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20344"/>
    <w:multiLevelType w:val="hybridMultilevel"/>
    <w:tmpl w:val="1B4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2"/>
  </w:num>
  <w:num w:numId="5">
    <w:abstractNumId w:val="29"/>
  </w:num>
  <w:num w:numId="6">
    <w:abstractNumId w:val="35"/>
  </w:num>
  <w:num w:numId="7">
    <w:abstractNumId w:val="20"/>
  </w:num>
  <w:num w:numId="8">
    <w:abstractNumId w:val="7"/>
  </w:num>
  <w:num w:numId="9">
    <w:abstractNumId w:val="10"/>
  </w:num>
  <w:num w:numId="10">
    <w:abstractNumId w:val="13"/>
  </w:num>
  <w:num w:numId="11">
    <w:abstractNumId w:val="21"/>
  </w:num>
  <w:num w:numId="12">
    <w:abstractNumId w:val="6"/>
  </w:num>
  <w:num w:numId="13">
    <w:abstractNumId w:val="30"/>
  </w:num>
  <w:num w:numId="14">
    <w:abstractNumId w:val="3"/>
  </w:num>
  <w:num w:numId="15">
    <w:abstractNumId w:val="26"/>
  </w:num>
  <w:num w:numId="16">
    <w:abstractNumId w:val="2"/>
  </w:num>
  <w:num w:numId="17">
    <w:abstractNumId w:val="33"/>
  </w:num>
  <w:num w:numId="18">
    <w:abstractNumId w:val="34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24"/>
  </w:num>
  <w:num w:numId="26">
    <w:abstractNumId w:val="18"/>
  </w:num>
  <w:num w:numId="27">
    <w:abstractNumId w:val="14"/>
  </w:num>
  <w:num w:numId="28">
    <w:abstractNumId w:val="19"/>
  </w:num>
  <w:num w:numId="29">
    <w:abstractNumId w:val="9"/>
  </w:num>
  <w:num w:numId="30">
    <w:abstractNumId w:val="27"/>
  </w:num>
  <w:num w:numId="31">
    <w:abstractNumId w:val="25"/>
  </w:num>
  <w:num w:numId="32">
    <w:abstractNumId w:val="32"/>
  </w:num>
  <w:num w:numId="33">
    <w:abstractNumId w:val="22"/>
  </w:num>
  <w:num w:numId="34">
    <w:abstractNumId w:val="5"/>
  </w:num>
  <w:num w:numId="35">
    <w:abstractNumId w:val="31"/>
  </w:num>
  <w:num w:numId="3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D6"/>
    <w:rsid w:val="00002F38"/>
    <w:rsid w:val="00005DB8"/>
    <w:rsid w:val="000117BF"/>
    <w:rsid w:val="000148C6"/>
    <w:rsid w:val="000204D2"/>
    <w:rsid w:val="00022B8C"/>
    <w:rsid w:val="00026ACF"/>
    <w:rsid w:val="0002755D"/>
    <w:rsid w:val="0002775E"/>
    <w:rsid w:val="00031149"/>
    <w:rsid w:val="00031EA6"/>
    <w:rsid w:val="0004325D"/>
    <w:rsid w:val="00044BB2"/>
    <w:rsid w:val="000452CE"/>
    <w:rsid w:val="00045911"/>
    <w:rsid w:val="000502E8"/>
    <w:rsid w:val="000638BE"/>
    <w:rsid w:val="000641F1"/>
    <w:rsid w:val="000641F2"/>
    <w:rsid w:val="00066B2D"/>
    <w:rsid w:val="00066F06"/>
    <w:rsid w:val="00067598"/>
    <w:rsid w:val="0007417D"/>
    <w:rsid w:val="00074F02"/>
    <w:rsid w:val="000778A6"/>
    <w:rsid w:val="00084F49"/>
    <w:rsid w:val="0008542A"/>
    <w:rsid w:val="00086CF6"/>
    <w:rsid w:val="0008789F"/>
    <w:rsid w:val="000949DC"/>
    <w:rsid w:val="00095C8C"/>
    <w:rsid w:val="000A57AE"/>
    <w:rsid w:val="000A72D1"/>
    <w:rsid w:val="000B5E27"/>
    <w:rsid w:val="000B6982"/>
    <w:rsid w:val="000C2DC1"/>
    <w:rsid w:val="000D3668"/>
    <w:rsid w:val="000D37C8"/>
    <w:rsid w:val="000D5212"/>
    <w:rsid w:val="000E606B"/>
    <w:rsid w:val="000F2A5C"/>
    <w:rsid w:val="000F6331"/>
    <w:rsid w:val="001038F7"/>
    <w:rsid w:val="001075B2"/>
    <w:rsid w:val="00110173"/>
    <w:rsid w:val="00112EDC"/>
    <w:rsid w:val="00112F37"/>
    <w:rsid w:val="00113253"/>
    <w:rsid w:val="00113533"/>
    <w:rsid w:val="0011414A"/>
    <w:rsid w:val="00117027"/>
    <w:rsid w:val="00120741"/>
    <w:rsid w:val="0012253A"/>
    <w:rsid w:val="00124B5D"/>
    <w:rsid w:val="00125DA4"/>
    <w:rsid w:val="001308BD"/>
    <w:rsid w:val="0013297A"/>
    <w:rsid w:val="00132D21"/>
    <w:rsid w:val="00133EDA"/>
    <w:rsid w:val="00135DF5"/>
    <w:rsid w:val="00136CFF"/>
    <w:rsid w:val="00141A19"/>
    <w:rsid w:val="00145B3F"/>
    <w:rsid w:val="001513D4"/>
    <w:rsid w:val="00152ABC"/>
    <w:rsid w:val="001550BC"/>
    <w:rsid w:val="001672BC"/>
    <w:rsid w:val="00173C6F"/>
    <w:rsid w:val="00175F36"/>
    <w:rsid w:val="001949B0"/>
    <w:rsid w:val="00195783"/>
    <w:rsid w:val="00195854"/>
    <w:rsid w:val="001A0F7E"/>
    <w:rsid w:val="001A21D0"/>
    <w:rsid w:val="001A305E"/>
    <w:rsid w:val="001A3D5E"/>
    <w:rsid w:val="001A53A4"/>
    <w:rsid w:val="001B06A6"/>
    <w:rsid w:val="001B0706"/>
    <w:rsid w:val="001B3687"/>
    <w:rsid w:val="001D1690"/>
    <w:rsid w:val="001E2078"/>
    <w:rsid w:val="001F5BE6"/>
    <w:rsid w:val="001F67CD"/>
    <w:rsid w:val="002024CF"/>
    <w:rsid w:val="00202820"/>
    <w:rsid w:val="002053B6"/>
    <w:rsid w:val="00212F47"/>
    <w:rsid w:val="00213243"/>
    <w:rsid w:val="002150DE"/>
    <w:rsid w:val="0021537F"/>
    <w:rsid w:val="0022452D"/>
    <w:rsid w:val="00225872"/>
    <w:rsid w:val="00230358"/>
    <w:rsid w:val="002338C6"/>
    <w:rsid w:val="00235885"/>
    <w:rsid w:val="002362C6"/>
    <w:rsid w:val="00237A7A"/>
    <w:rsid w:val="00241AED"/>
    <w:rsid w:val="00252880"/>
    <w:rsid w:val="00254BD6"/>
    <w:rsid w:val="00260646"/>
    <w:rsid w:val="002608FD"/>
    <w:rsid w:val="002700E9"/>
    <w:rsid w:val="00271F85"/>
    <w:rsid w:val="002842A9"/>
    <w:rsid w:val="00291663"/>
    <w:rsid w:val="00295C60"/>
    <w:rsid w:val="00296404"/>
    <w:rsid w:val="002A383C"/>
    <w:rsid w:val="002A5C49"/>
    <w:rsid w:val="002A6935"/>
    <w:rsid w:val="002A7291"/>
    <w:rsid w:val="002B20E9"/>
    <w:rsid w:val="002B2396"/>
    <w:rsid w:val="002B64DA"/>
    <w:rsid w:val="002B78BA"/>
    <w:rsid w:val="002C02F4"/>
    <w:rsid w:val="002C1ABA"/>
    <w:rsid w:val="002C3464"/>
    <w:rsid w:val="002C5D78"/>
    <w:rsid w:val="002C6F96"/>
    <w:rsid w:val="002D016A"/>
    <w:rsid w:val="002D2D37"/>
    <w:rsid w:val="002D4089"/>
    <w:rsid w:val="002D516E"/>
    <w:rsid w:val="002E05B3"/>
    <w:rsid w:val="002E408F"/>
    <w:rsid w:val="002E535A"/>
    <w:rsid w:val="003006CB"/>
    <w:rsid w:val="00305B10"/>
    <w:rsid w:val="00307A96"/>
    <w:rsid w:val="00311BC5"/>
    <w:rsid w:val="00316BBC"/>
    <w:rsid w:val="00335F0F"/>
    <w:rsid w:val="003362C3"/>
    <w:rsid w:val="0034385D"/>
    <w:rsid w:val="00345412"/>
    <w:rsid w:val="0034567F"/>
    <w:rsid w:val="00345E3C"/>
    <w:rsid w:val="003461CD"/>
    <w:rsid w:val="00346222"/>
    <w:rsid w:val="003465AC"/>
    <w:rsid w:val="00350AEE"/>
    <w:rsid w:val="00353427"/>
    <w:rsid w:val="00353CF2"/>
    <w:rsid w:val="00356FB3"/>
    <w:rsid w:val="0036185F"/>
    <w:rsid w:val="003661AB"/>
    <w:rsid w:val="00370942"/>
    <w:rsid w:val="00370C00"/>
    <w:rsid w:val="00372B18"/>
    <w:rsid w:val="00372EB1"/>
    <w:rsid w:val="00374573"/>
    <w:rsid w:val="00377DC9"/>
    <w:rsid w:val="00380435"/>
    <w:rsid w:val="003812B0"/>
    <w:rsid w:val="00383418"/>
    <w:rsid w:val="0038445A"/>
    <w:rsid w:val="00392E85"/>
    <w:rsid w:val="003936A7"/>
    <w:rsid w:val="0039708E"/>
    <w:rsid w:val="00397A61"/>
    <w:rsid w:val="003A0A90"/>
    <w:rsid w:val="003A4547"/>
    <w:rsid w:val="003A5068"/>
    <w:rsid w:val="003A752A"/>
    <w:rsid w:val="003A7E74"/>
    <w:rsid w:val="003B1615"/>
    <w:rsid w:val="003B6F6B"/>
    <w:rsid w:val="003C0C91"/>
    <w:rsid w:val="003C5FF9"/>
    <w:rsid w:val="003D2799"/>
    <w:rsid w:val="003D3B28"/>
    <w:rsid w:val="003D4A61"/>
    <w:rsid w:val="003E10CB"/>
    <w:rsid w:val="003E158B"/>
    <w:rsid w:val="003E246A"/>
    <w:rsid w:val="003E3131"/>
    <w:rsid w:val="003E4892"/>
    <w:rsid w:val="003F4B94"/>
    <w:rsid w:val="003F560D"/>
    <w:rsid w:val="003F7AEB"/>
    <w:rsid w:val="0040029F"/>
    <w:rsid w:val="00405A4B"/>
    <w:rsid w:val="004065E4"/>
    <w:rsid w:val="00412867"/>
    <w:rsid w:val="0041394A"/>
    <w:rsid w:val="00414AA2"/>
    <w:rsid w:val="00415865"/>
    <w:rsid w:val="00415DF9"/>
    <w:rsid w:val="00416E16"/>
    <w:rsid w:val="00422749"/>
    <w:rsid w:val="00422F28"/>
    <w:rsid w:val="00430E86"/>
    <w:rsid w:val="00433078"/>
    <w:rsid w:val="00434D86"/>
    <w:rsid w:val="00434F49"/>
    <w:rsid w:val="00435298"/>
    <w:rsid w:val="00437FBB"/>
    <w:rsid w:val="00441BCC"/>
    <w:rsid w:val="00442C0E"/>
    <w:rsid w:val="00445CA9"/>
    <w:rsid w:val="004515EA"/>
    <w:rsid w:val="00453853"/>
    <w:rsid w:val="00461995"/>
    <w:rsid w:val="00462BBF"/>
    <w:rsid w:val="00465192"/>
    <w:rsid w:val="00466DEE"/>
    <w:rsid w:val="00475ABF"/>
    <w:rsid w:val="00476470"/>
    <w:rsid w:val="00486795"/>
    <w:rsid w:val="00491A3E"/>
    <w:rsid w:val="0049279C"/>
    <w:rsid w:val="004927EB"/>
    <w:rsid w:val="004A44C6"/>
    <w:rsid w:val="004A566A"/>
    <w:rsid w:val="004C2A31"/>
    <w:rsid w:val="004C5007"/>
    <w:rsid w:val="004D14A9"/>
    <w:rsid w:val="004D26BA"/>
    <w:rsid w:val="004D4396"/>
    <w:rsid w:val="004E2272"/>
    <w:rsid w:val="004E2637"/>
    <w:rsid w:val="004E4539"/>
    <w:rsid w:val="004F01A2"/>
    <w:rsid w:val="004F2073"/>
    <w:rsid w:val="004F2472"/>
    <w:rsid w:val="004F313F"/>
    <w:rsid w:val="004F3EE3"/>
    <w:rsid w:val="004F5F55"/>
    <w:rsid w:val="004F6D50"/>
    <w:rsid w:val="005008C1"/>
    <w:rsid w:val="005059A6"/>
    <w:rsid w:val="00506E3D"/>
    <w:rsid w:val="0050790E"/>
    <w:rsid w:val="00513A0B"/>
    <w:rsid w:val="0051650F"/>
    <w:rsid w:val="00520E77"/>
    <w:rsid w:val="00532306"/>
    <w:rsid w:val="00535219"/>
    <w:rsid w:val="0054112D"/>
    <w:rsid w:val="005424CA"/>
    <w:rsid w:val="0055030D"/>
    <w:rsid w:val="00550437"/>
    <w:rsid w:val="00560662"/>
    <w:rsid w:val="00564724"/>
    <w:rsid w:val="00582BA2"/>
    <w:rsid w:val="00585BA4"/>
    <w:rsid w:val="0058656C"/>
    <w:rsid w:val="0058706C"/>
    <w:rsid w:val="00591622"/>
    <w:rsid w:val="005916C3"/>
    <w:rsid w:val="005A09F9"/>
    <w:rsid w:val="005A0D36"/>
    <w:rsid w:val="005A1D5D"/>
    <w:rsid w:val="005A220B"/>
    <w:rsid w:val="005A33A2"/>
    <w:rsid w:val="005A454D"/>
    <w:rsid w:val="005A4882"/>
    <w:rsid w:val="005B31D4"/>
    <w:rsid w:val="005B68B8"/>
    <w:rsid w:val="005B7510"/>
    <w:rsid w:val="005C1265"/>
    <w:rsid w:val="005C1B3E"/>
    <w:rsid w:val="005C2369"/>
    <w:rsid w:val="005C6114"/>
    <w:rsid w:val="005D1864"/>
    <w:rsid w:val="005D1B99"/>
    <w:rsid w:val="005E5599"/>
    <w:rsid w:val="005E7A52"/>
    <w:rsid w:val="005F0084"/>
    <w:rsid w:val="005F0B90"/>
    <w:rsid w:val="005F2881"/>
    <w:rsid w:val="005F32F8"/>
    <w:rsid w:val="005F4729"/>
    <w:rsid w:val="005F4E81"/>
    <w:rsid w:val="005F5276"/>
    <w:rsid w:val="005F6660"/>
    <w:rsid w:val="005F6D86"/>
    <w:rsid w:val="00600A55"/>
    <w:rsid w:val="00612284"/>
    <w:rsid w:val="00614B40"/>
    <w:rsid w:val="0062181A"/>
    <w:rsid w:val="00622329"/>
    <w:rsid w:val="0062391C"/>
    <w:rsid w:val="00625CDB"/>
    <w:rsid w:val="006323B8"/>
    <w:rsid w:val="0063374C"/>
    <w:rsid w:val="00633DF2"/>
    <w:rsid w:val="00634E2A"/>
    <w:rsid w:val="006363E5"/>
    <w:rsid w:val="00642973"/>
    <w:rsid w:val="00644BB7"/>
    <w:rsid w:val="006465ED"/>
    <w:rsid w:val="006508FA"/>
    <w:rsid w:val="006525FF"/>
    <w:rsid w:val="00652F49"/>
    <w:rsid w:val="00654FB2"/>
    <w:rsid w:val="006550C4"/>
    <w:rsid w:val="0065667D"/>
    <w:rsid w:val="00662643"/>
    <w:rsid w:val="00662FF4"/>
    <w:rsid w:val="00667FDE"/>
    <w:rsid w:val="0067053A"/>
    <w:rsid w:val="00681587"/>
    <w:rsid w:val="00682FF7"/>
    <w:rsid w:val="006862CC"/>
    <w:rsid w:val="00686796"/>
    <w:rsid w:val="00687405"/>
    <w:rsid w:val="00690C91"/>
    <w:rsid w:val="00692B54"/>
    <w:rsid w:val="006A147B"/>
    <w:rsid w:val="006A69E6"/>
    <w:rsid w:val="006A778B"/>
    <w:rsid w:val="006B1A2D"/>
    <w:rsid w:val="006B291F"/>
    <w:rsid w:val="006B357C"/>
    <w:rsid w:val="006B4F4D"/>
    <w:rsid w:val="006B6443"/>
    <w:rsid w:val="006C1529"/>
    <w:rsid w:val="006C2E19"/>
    <w:rsid w:val="006D4D1B"/>
    <w:rsid w:val="006D755E"/>
    <w:rsid w:val="006E5C59"/>
    <w:rsid w:val="006F5519"/>
    <w:rsid w:val="0070454F"/>
    <w:rsid w:val="00711B1A"/>
    <w:rsid w:val="007121DB"/>
    <w:rsid w:val="00717777"/>
    <w:rsid w:val="00717C48"/>
    <w:rsid w:val="00720CE9"/>
    <w:rsid w:val="00726533"/>
    <w:rsid w:val="00730608"/>
    <w:rsid w:val="00737605"/>
    <w:rsid w:val="00745D53"/>
    <w:rsid w:val="00746D39"/>
    <w:rsid w:val="007522E3"/>
    <w:rsid w:val="007525F3"/>
    <w:rsid w:val="007568A5"/>
    <w:rsid w:val="007613F6"/>
    <w:rsid w:val="00762455"/>
    <w:rsid w:val="00763CF8"/>
    <w:rsid w:val="00763DA9"/>
    <w:rsid w:val="00764093"/>
    <w:rsid w:val="00765C44"/>
    <w:rsid w:val="00766260"/>
    <w:rsid w:val="007670F7"/>
    <w:rsid w:val="00770674"/>
    <w:rsid w:val="0077162F"/>
    <w:rsid w:val="007718A5"/>
    <w:rsid w:val="0077296B"/>
    <w:rsid w:val="00774F77"/>
    <w:rsid w:val="00784918"/>
    <w:rsid w:val="00786ED6"/>
    <w:rsid w:val="007979C7"/>
    <w:rsid w:val="007A011F"/>
    <w:rsid w:val="007A4763"/>
    <w:rsid w:val="007A555F"/>
    <w:rsid w:val="007B28B3"/>
    <w:rsid w:val="007B5A39"/>
    <w:rsid w:val="007B6388"/>
    <w:rsid w:val="007C0408"/>
    <w:rsid w:val="007C73A4"/>
    <w:rsid w:val="007C75A6"/>
    <w:rsid w:val="007D06FE"/>
    <w:rsid w:val="007D3723"/>
    <w:rsid w:val="007D5256"/>
    <w:rsid w:val="007D7A6B"/>
    <w:rsid w:val="007E1D62"/>
    <w:rsid w:val="007F0760"/>
    <w:rsid w:val="007F14BB"/>
    <w:rsid w:val="007F6D5E"/>
    <w:rsid w:val="007F7AEC"/>
    <w:rsid w:val="00800E00"/>
    <w:rsid w:val="00802A45"/>
    <w:rsid w:val="00803D82"/>
    <w:rsid w:val="008042D4"/>
    <w:rsid w:val="008077F9"/>
    <w:rsid w:val="00810893"/>
    <w:rsid w:val="008117FC"/>
    <w:rsid w:val="00812FE9"/>
    <w:rsid w:val="0081302E"/>
    <w:rsid w:val="0081495C"/>
    <w:rsid w:val="0081578C"/>
    <w:rsid w:val="00817C82"/>
    <w:rsid w:val="00820C33"/>
    <w:rsid w:val="0082177C"/>
    <w:rsid w:val="008273F4"/>
    <w:rsid w:val="00827F03"/>
    <w:rsid w:val="008305EC"/>
    <w:rsid w:val="00835DE5"/>
    <w:rsid w:val="00836E87"/>
    <w:rsid w:val="008458FD"/>
    <w:rsid w:val="008536B6"/>
    <w:rsid w:val="00854AC6"/>
    <w:rsid w:val="008557F1"/>
    <w:rsid w:val="00855BCD"/>
    <w:rsid w:val="0086612B"/>
    <w:rsid w:val="0087074D"/>
    <w:rsid w:val="0087461C"/>
    <w:rsid w:val="00877BC3"/>
    <w:rsid w:val="00883041"/>
    <w:rsid w:val="00884888"/>
    <w:rsid w:val="00885CC8"/>
    <w:rsid w:val="00887850"/>
    <w:rsid w:val="00890351"/>
    <w:rsid w:val="0089086C"/>
    <w:rsid w:val="00894801"/>
    <w:rsid w:val="008978AC"/>
    <w:rsid w:val="008A0A0B"/>
    <w:rsid w:val="008B00B7"/>
    <w:rsid w:val="008B169F"/>
    <w:rsid w:val="008B2E3B"/>
    <w:rsid w:val="008B49C4"/>
    <w:rsid w:val="008B6C5C"/>
    <w:rsid w:val="008B6F27"/>
    <w:rsid w:val="008C01D7"/>
    <w:rsid w:val="008C0551"/>
    <w:rsid w:val="008C438B"/>
    <w:rsid w:val="008C4B4D"/>
    <w:rsid w:val="008C6E0B"/>
    <w:rsid w:val="008D185E"/>
    <w:rsid w:val="008D2200"/>
    <w:rsid w:val="008D4F03"/>
    <w:rsid w:val="00904239"/>
    <w:rsid w:val="00904A27"/>
    <w:rsid w:val="0090501B"/>
    <w:rsid w:val="00906300"/>
    <w:rsid w:val="00906BDA"/>
    <w:rsid w:val="0090704B"/>
    <w:rsid w:val="009076F0"/>
    <w:rsid w:val="00907D25"/>
    <w:rsid w:val="00911B69"/>
    <w:rsid w:val="00914FAE"/>
    <w:rsid w:val="00916B7B"/>
    <w:rsid w:val="009215C8"/>
    <w:rsid w:val="00921978"/>
    <w:rsid w:val="00922C98"/>
    <w:rsid w:val="00925E43"/>
    <w:rsid w:val="00932DB4"/>
    <w:rsid w:val="00935970"/>
    <w:rsid w:val="00935B66"/>
    <w:rsid w:val="00945C66"/>
    <w:rsid w:val="00946EC0"/>
    <w:rsid w:val="00947CC6"/>
    <w:rsid w:val="00953FBE"/>
    <w:rsid w:val="0095592E"/>
    <w:rsid w:val="009564CF"/>
    <w:rsid w:val="00956691"/>
    <w:rsid w:val="00956B62"/>
    <w:rsid w:val="009575BB"/>
    <w:rsid w:val="00960584"/>
    <w:rsid w:val="00960C2E"/>
    <w:rsid w:val="009614F7"/>
    <w:rsid w:val="00961676"/>
    <w:rsid w:val="00967101"/>
    <w:rsid w:val="0097199E"/>
    <w:rsid w:val="00976AD7"/>
    <w:rsid w:val="009943D9"/>
    <w:rsid w:val="009966C6"/>
    <w:rsid w:val="009A2CA1"/>
    <w:rsid w:val="009A2D18"/>
    <w:rsid w:val="009A5380"/>
    <w:rsid w:val="009A6A2B"/>
    <w:rsid w:val="009B0C8B"/>
    <w:rsid w:val="009B0F3F"/>
    <w:rsid w:val="009B1678"/>
    <w:rsid w:val="009B3B51"/>
    <w:rsid w:val="009B5C56"/>
    <w:rsid w:val="009C2C1E"/>
    <w:rsid w:val="009C3270"/>
    <w:rsid w:val="009C36F1"/>
    <w:rsid w:val="009C3E8C"/>
    <w:rsid w:val="009C762E"/>
    <w:rsid w:val="009D00BC"/>
    <w:rsid w:val="009D2E23"/>
    <w:rsid w:val="009D359A"/>
    <w:rsid w:val="009D4138"/>
    <w:rsid w:val="009E68C3"/>
    <w:rsid w:val="009F0971"/>
    <w:rsid w:val="009F33AC"/>
    <w:rsid w:val="00A0127D"/>
    <w:rsid w:val="00A012F5"/>
    <w:rsid w:val="00A22419"/>
    <w:rsid w:val="00A24D5D"/>
    <w:rsid w:val="00A25412"/>
    <w:rsid w:val="00A274C5"/>
    <w:rsid w:val="00A27570"/>
    <w:rsid w:val="00A30BD4"/>
    <w:rsid w:val="00A3130C"/>
    <w:rsid w:val="00A367FC"/>
    <w:rsid w:val="00A37B2C"/>
    <w:rsid w:val="00A4071D"/>
    <w:rsid w:val="00A42AEC"/>
    <w:rsid w:val="00A43BC9"/>
    <w:rsid w:val="00A445C3"/>
    <w:rsid w:val="00A53CD9"/>
    <w:rsid w:val="00A60B7A"/>
    <w:rsid w:val="00A615C5"/>
    <w:rsid w:val="00A62316"/>
    <w:rsid w:val="00A62589"/>
    <w:rsid w:val="00A64679"/>
    <w:rsid w:val="00A64B23"/>
    <w:rsid w:val="00A76D6B"/>
    <w:rsid w:val="00A845FC"/>
    <w:rsid w:val="00A86822"/>
    <w:rsid w:val="00A90154"/>
    <w:rsid w:val="00A90C5C"/>
    <w:rsid w:val="00A9318D"/>
    <w:rsid w:val="00AA02F7"/>
    <w:rsid w:val="00AA0C47"/>
    <w:rsid w:val="00AB060E"/>
    <w:rsid w:val="00AB2B4C"/>
    <w:rsid w:val="00AB34A5"/>
    <w:rsid w:val="00AB4B9D"/>
    <w:rsid w:val="00AB5A83"/>
    <w:rsid w:val="00AC0A9D"/>
    <w:rsid w:val="00AC6FB7"/>
    <w:rsid w:val="00AC7D41"/>
    <w:rsid w:val="00AC7DEA"/>
    <w:rsid w:val="00AD5C23"/>
    <w:rsid w:val="00AD6768"/>
    <w:rsid w:val="00AF1D80"/>
    <w:rsid w:val="00AF209F"/>
    <w:rsid w:val="00AF7E1E"/>
    <w:rsid w:val="00B02DE7"/>
    <w:rsid w:val="00B06B18"/>
    <w:rsid w:val="00B06EA1"/>
    <w:rsid w:val="00B07C4C"/>
    <w:rsid w:val="00B10682"/>
    <w:rsid w:val="00B10800"/>
    <w:rsid w:val="00B13EC7"/>
    <w:rsid w:val="00B168C1"/>
    <w:rsid w:val="00B17EB1"/>
    <w:rsid w:val="00B25F6A"/>
    <w:rsid w:val="00B31453"/>
    <w:rsid w:val="00B34C3C"/>
    <w:rsid w:val="00B368FE"/>
    <w:rsid w:val="00B4392D"/>
    <w:rsid w:val="00B46BEF"/>
    <w:rsid w:val="00B50BB6"/>
    <w:rsid w:val="00B50E18"/>
    <w:rsid w:val="00B5487E"/>
    <w:rsid w:val="00B56301"/>
    <w:rsid w:val="00B61EE5"/>
    <w:rsid w:val="00B61F9F"/>
    <w:rsid w:val="00B66E14"/>
    <w:rsid w:val="00B67347"/>
    <w:rsid w:val="00B7517E"/>
    <w:rsid w:val="00B76B88"/>
    <w:rsid w:val="00B804F8"/>
    <w:rsid w:val="00B8588D"/>
    <w:rsid w:val="00B874C9"/>
    <w:rsid w:val="00B92DC4"/>
    <w:rsid w:val="00B93B3F"/>
    <w:rsid w:val="00B96336"/>
    <w:rsid w:val="00B9670A"/>
    <w:rsid w:val="00BA509D"/>
    <w:rsid w:val="00BA60E3"/>
    <w:rsid w:val="00BB1386"/>
    <w:rsid w:val="00BB2AD7"/>
    <w:rsid w:val="00BB516B"/>
    <w:rsid w:val="00BC157B"/>
    <w:rsid w:val="00BC255E"/>
    <w:rsid w:val="00BC2BBE"/>
    <w:rsid w:val="00BC340E"/>
    <w:rsid w:val="00BC469F"/>
    <w:rsid w:val="00BC6803"/>
    <w:rsid w:val="00BD0DA5"/>
    <w:rsid w:val="00BD7023"/>
    <w:rsid w:val="00BE0E90"/>
    <w:rsid w:val="00BE3F8B"/>
    <w:rsid w:val="00BE5C38"/>
    <w:rsid w:val="00BE713E"/>
    <w:rsid w:val="00BF291E"/>
    <w:rsid w:val="00BF4CF4"/>
    <w:rsid w:val="00C02854"/>
    <w:rsid w:val="00C04353"/>
    <w:rsid w:val="00C062D3"/>
    <w:rsid w:val="00C07BC5"/>
    <w:rsid w:val="00C16436"/>
    <w:rsid w:val="00C16DD4"/>
    <w:rsid w:val="00C21804"/>
    <w:rsid w:val="00C2366C"/>
    <w:rsid w:val="00C30F16"/>
    <w:rsid w:val="00C32032"/>
    <w:rsid w:val="00C3203C"/>
    <w:rsid w:val="00C32BD1"/>
    <w:rsid w:val="00C35C5D"/>
    <w:rsid w:val="00C42079"/>
    <w:rsid w:val="00C422CA"/>
    <w:rsid w:val="00C436CA"/>
    <w:rsid w:val="00C460F0"/>
    <w:rsid w:val="00C54EC3"/>
    <w:rsid w:val="00C56784"/>
    <w:rsid w:val="00C56D73"/>
    <w:rsid w:val="00C63A82"/>
    <w:rsid w:val="00C648E7"/>
    <w:rsid w:val="00C668BF"/>
    <w:rsid w:val="00C66CAE"/>
    <w:rsid w:val="00C67652"/>
    <w:rsid w:val="00C6766E"/>
    <w:rsid w:val="00C67AC6"/>
    <w:rsid w:val="00C72270"/>
    <w:rsid w:val="00C72284"/>
    <w:rsid w:val="00C75070"/>
    <w:rsid w:val="00C7540D"/>
    <w:rsid w:val="00C80531"/>
    <w:rsid w:val="00C90115"/>
    <w:rsid w:val="00C913DA"/>
    <w:rsid w:val="00C93515"/>
    <w:rsid w:val="00C958CB"/>
    <w:rsid w:val="00C962DB"/>
    <w:rsid w:val="00CA0CE7"/>
    <w:rsid w:val="00CA3950"/>
    <w:rsid w:val="00CB27FB"/>
    <w:rsid w:val="00CB546A"/>
    <w:rsid w:val="00CB639E"/>
    <w:rsid w:val="00CB7591"/>
    <w:rsid w:val="00CC56F0"/>
    <w:rsid w:val="00CC580F"/>
    <w:rsid w:val="00CE5032"/>
    <w:rsid w:val="00CE55B8"/>
    <w:rsid w:val="00CF275F"/>
    <w:rsid w:val="00CF3A4D"/>
    <w:rsid w:val="00D04C5A"/>
    <w:rsid w:val="00D06C66"/>
    <w:rsid w:val="00D1035F"/>
    <w:rsid w:val="00D12C30"/>
    <w:rsid w:val="00D20160"/>
    <w:rsid w:val="00D21366"/>
    <w:rsid w:val="00D31D43"/>
    <w:rsid w:val="00D342CB"/>
    <w:rsid w:val="00D441D8"/>
    <w:rsid w:val="00D4580B"/>
    <w:rsid w:val="00D46A97"/>
    <w:rsid w:val="00D66273"/>
    <w:rsid w:val="00D70C52"/>
    <w:rsid w:val="00D711EE"/>
    <w:rsid w:val="00D72217"/>
    <w:rsid w:val="00D75A88"/>
    <w:rsid w:val="00D77F57"/>
    <w:rsid w:val="00D80B13"/>
    <w:rsid w:val="00D87FE4"/>
    <w:rsid w:val="00D90438"/>
    <w:rsid w:val="00D931EF"/>
    <w:rsid w:val="00D94D94"/>
    <w:rsid w:val="00D96984"/>
    <w:rsid w:val="00DA13E6"/>
    <w:rsid w:val="00DA1428"/>
    <w:rsid w:val="00DA1EE5"/>
    <w:rsid w:val="00DA31DB"/>
    <w:rsid w:val="00DB1392"/>
    <w:rsid w:val="00DB26E7"/>
    <w:rsid w:val="00DB3A1D"/>
    <w:rsid w:val="00DB4A1A"/>
    <w:rsid w:val="00DC0EA4"/>
    <w:rsid w:val="00DC5702"/>
    <w:rsid w:val="00DD05B8"/>
    <w:rsid w:val="00DD3D26"/>
    <w:rsid w:val="00DD5307"/>
    <w:rsid w:val="00DD5EB4"/>
    <w:rsid w:val="00DE0709"/>
    <w:rsid w:val="00DF0A66"/>
    <w:rsid w:val="00DF0F86"/>
    <w:rsid w:val="00DF4AA5"/>
    <w:rsid w:val="00DF60B2"/>
    <w:rsid w:val="00E0695B"/>
    <w:rsid w:val="00E07090"/>
    <w:rsid w:val="00E103EC"/>
    <w:rsid w:val="00E11E1A"/>
    <w:rsid w:val="00E149AB"/>
    <w:rsid w:val="00E15ACC"/>
    <w:rsid w:val="00E15F6D"/>
    <w:rsid w:val="00E17850"/>
    <w:rsid w:val="00E17C0A"/>
    <w:rsid w:val="00E23A89"/>
    <w:rsid w:val="00E24273"/>
    <w:rsid w:val="00E265B0"/>
    <w:rsid w:val="00E269D6"/>
    <w:rsid w:val="00E41E27"/>
    <w:rsid w:val="00E51F08"/>
    <w:rsid w:val="00E51F66"/>
    <w:rsid w:val="00E57CE2"/>
    <w:rsid w:val="00E64BDA"/>
    <w:rsid w:val="00E71EE2"/>
    <w:rsid w:val="00E724CD"/>
    <w:rsid w:val="00E74BC8"/>
    <w:rsid w:val="00E80AE9"/>
    <w:rsid w:val="00E813DD"/>
    <w:rsid w:val="00E855EC"/>
    <w:rsid w:val="00E85D5D"/>
    <w:rsid w:val="00E926BC"/>
    <w:rsid w:val="00E947D7"/>
    <w:rsid w:val="00EA0DD9"/>
    <w:rsid w:val="00EA11D0"/>
    <w:rsid w:val="00EA4A78"/>
    <w:rsid w:val="00EA5727"/>
    <w:rsid w:val="00EA6F1B"/>
    <w:rsid w:val="00EB1800"/>
    <w:rsid w:val="00EB218C"/>
    <w:rsid w:val="00EB3FFA"/>
    <w:rsid w:val="00EC49DC"/>
    <w:rsid w:val="00ED159C"/>
    <w:rsid w:val="00ED1623"/>
    <w:rsid w:val="00ED27AE"/>
    <w:rsid w:val="00ED409A"/>
    <w:rsid w:val="00ED4D37"/>
    <w:rsid w:val="00ED7D22"/>
    <w:rsid w:val="00EE300B"/>
    <w:rsid w:val="00EE41E3"/>
    <w:rsid w:val="00F05633"/>
    <w:rsid w:val="00F06D30"/>
    <w:rsid w:val="00F079FD"/>
    <w:rsid w:val="00F1318B"/>
    <w:rsid w:val="00F17052"/>
    <w:rsid w:val="00F24B73"/>
    <w:rsid w:val="00F24D75"/>
    <w:rsid w:val="00F3067D"/>
    <w:rsid w:val="00F328DD"/>
    <w:rsid w:val="00F35540"/>
    <w:rsid w:val="00F35A20"/>
    <w:rsid w:val="00F40033"/>
    <w:rsid w:val="00F403F9"/>
    <w:rsid w:val="00F42502"/>
    <w:rsid w:val="00F47B14"/>
    <w:rsid w:val="00F53EA1"/>
    <w:rsid w:val="00F57B9F"/>
    <w:rsid w:val="00F6076D"/>
    <w:rsid w:val="00F63BCF"/>
    <w:rsid w:val="00F65260"/>
    <w:rsid w:val="00F66D2F"/>
    <w:rsid w:val="00F67366"/>
    <w:rsid w:val="00F7267F"/>
    <w:rsid w:val="00F7439C"/>
    <w:rsid w:val="00F74C23"/>
    <w:rsid w:val="00F75868"/>
    <w:rsid w:val="00F801A7"/>
    <w:rsid w:val="00F81EA6"/>
    <w:rsid w:val="00F83D2E"/>
    <w:rsid w:val="00F853D8"/>
    <w:rsid w:val="00F8544B"/>
    <w:rsid w:val="00F85D1D"/>
    <w:rsid w:val="00F86902"/>
    <w:rsid w:val="00F92628"/>
    <w:rsid w:val="00F93BFB"/>
    <w:rsid w:val="00F94EB2"/>
    <w:rsid w:val="00F97179"/>
    <w:rsid w:val="00FA0291"/>
    <w:rsid w:val="00FA1760"/>
    <w:rsid w:val="00FA2DFC"/>
    <w:rsid w:val="00FA31EA"/>
    <w:rsid w:val="00FA7210"/>
    <w:rsid w:val="00FA7393"/>
    <w:rsid w:val="00FA785F"/>
    <w:rsid w:val="00FA7E2A"/>
    <w:rsid w:val="00FB0D0D"/>
    <w:rsid w:val="00FB13C5"/>
    <w:rsid w:val="00FB1E7B"/>
    <w:rsid w:val="00FC1A20"/>
    <w:rsid w:val="00FC2DA3"/>
    <w:rsid w:val="00FC50D6"/>
    <w:rsid w:val="00FD3F34"/>
    <w:rsid w:val="00FD6A60"/>
    <w:rsid w:val="00FE0456"/>
    <w:rsid w:val="00FE1CFC"/>
    <w:rsid w:val="00FE2098"/>
    <w:rsid w:val="00FE2DC0"/>
    <w:rsid w:val="00FE3AA6"/>
    <w:rsid w:val="00FE52BC"/>
    <w:rsid w:val="00FE6F8F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3A64"/>
  <w15:chartTrackingRefBased/>
  <w15:docId w15:val="{BBC15082-0332-4B4E-B7DB-4B96D5E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00B"/>
    <w:pPr>
      <w:keepNext/>
      <w:keepLines/>
      <w:spacing w:before="200" w:line="276" w:lineRule="auto"/>
      <w:ind w:left="703" w:hanging="703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1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42973"/>
    <w:rPr>
      <w:b/>
      <w:bCs/>
    </w:rPr>
  </w:style>
  <w:style w:type="paragraph" w:styleId="NormalWeb">
    <w:name w:val="Normal (Web)"/>
    <w:basedOn w:val="Normal"/>
    <w:rsid w:val="006429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1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2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C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6C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C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6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374C"/>
    <w:pPr>
      <w:spacing w:line="276" w:lineRule="auto"/>
      <w:ind w:left="720" w:hanging="70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EE300B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0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00B"/>
  </w:style>
  <w:style w:type="character" w:styleId="EndnoteReference">
    <w:name w:val="endnote reference"/>
    <w:uiPriority w:val="99"/>
    <w:semiHidden/>
    <w:unhideWhenUsed/>
    <w:rsid w:val="00EE300B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3661AB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leGrid">
    <w:name w:val="TableGrid"/>
    <w:rsid w:val="007C0408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040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D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2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213521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5500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068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91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o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01BC-2C51-4C27-A891-F55E81E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Zarządzenie nr</vt:lpstr>
      <vt:lpstr>Zarządzenie nr</vt:lpstr>
    </vt:vector>
  </TitlesOfParts>
  <Company>Uniwersytet Gdański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UG</dc:creator>
  <cp:keywords/>
  <cp:lastModifiedBy>Magdalena Moran</cp:lastModifiedBy>
  <cp:revision>44</cp:revision>
  <cp:lastPrinted>2021-05-31T10:09:00Z</cp:lastPrinted>
  <dcterms:created xsi:type="dcterms:W3CDTF">2021-10-03T19:06:00Z</dcterms:created>
  <dcterms:modified xsi:type="dcterms:W3CDTF">2021-11-19T07:10:00Z</dcterms:modified>
</cp:coreProperties>
</file>